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2.xml" ContentType="application/vnd.openxmlformats-officedocument.wordprocessingml.header+xml"/>
  <Override PartName="/word/media/image1.png" ContentType="image/png"/>
  <Override PartName="/word/theme/theme1.xml" ContentType="application/vnd.openxmlformats-officedocument.theme+xml"/>
  <Override PartName="/word/header1.xml" ContentType="application/vnd.openxmlformats-officedocument.wordprocessingml.header+xml"/>
  <Override PartName="/word/fontTable.xml" ContentType="application/vnd.openxmlformats-officedocument.wordprocessingml.fontTable+xml"/>
  <Override PartName="/word/settings.xml" ContentType="application/vnd.openxmlformats-officedocument.wordprocessingml.settings+xml"/>
  <Override PartName="/customXml/item1.xml" ContentType="application/xml"/>
  <Override PartName="/customXml/item2.xml" ContentType="application/xml"/>
  <Override PartName="/customXml/itemProps1.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itemProps2.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val="false"/>
        <w:ind w:right="946" w:hanging="0"/>
        <w:rPr>
          <w:rFonts w:eastAsia="Times New Roman"/>
          <w:bCs/>
          <w:szCs w:val="20"/>
          <w:lang w:val="en-US"/>
        </w:rPr>
      </w:pPr>
      <w:bookmarkStart w:id="0" w:name="_GoBack"/>
      <w:bookmarkEnd w:id="0"/>
      <w:r>
        <w:rPr>
          <w:rFonts w:eastAsia="Times New Roman"/>
          <w:szCs w:val="20"/>
          <w:lang w:eastAsia="hr-HR"/>
        </w:rPr>
        <w:t xml:space="preserve">                   </w:t>
      </w:r>
      <w:r>
        <w:rPr/>
        <w:drawing>
          <wp:inline distT="0" distB="0" distL="0" distR="0">
            <wp:extent cx="571500" cy="762000"/>
            <wp:effectExtent l="0" t="0" r="0" b="0"/>
            <wp:docPr id="1" name="Slika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
                    <pic:cNvPicPr>
                      <a:picLocks noChangeAspect="1" noChangeArrowheads="1"/>
                    </pic:cNvPicPr>
                  </pic:nvPicPr>
                  <pic:blipFill>
                    <a:blip r:embed="rId2"/>
                    <a:stretch>
                      <a:fillRect/>
                    </a:stretch>
                  </pic:blipFill>
                  <pic:spPr bwMode="auto">
                    <a:xfrm>
                      <a:off x="0" y="0"/>
                      <a:ext cx="571500" cy="762000"/>
                    </a:xfrm>
                    <a:prstGeom prst="rect">
                      <a:avLst/>
                    </a:prstGeom>
                  </pic:spPr>
                </pic:pic>
              </a:graphicData>
            </a:graphic>
          </wp:inline>
        </w:drawing>
      </w:r>
    </w:p>
    <w:p>
      <w:pPr>
        <w:pStyle w:val="Normal"/>
        <w:widowControl w:val="false"/>
        <w:ind w:right="43" w:hanging="0"/>
        <w:rPr>
          <w:rFonts w:eastAsia="Times New Roman"/>
          <w:bCs/>
          <w:szCs w:val="20"/>
          <w:lang w:val="en-US"/>
        </w:rPr>
      </w:pPr>
      <w:r>
        <w:rPr>
          <w:rFonts w:eastAsia="Times New Roman"/>
          <w:bCs/>
          <w:szCs w:val="20"/>
          <w:lang w:val="en-US"/>
        </w:rPr>
        <w:t xml:space="preserve">     </w:t>
      </w:r>
      <w:r>
        <w:rPr>
          <w:rFonts w:eastAsia="Times New Roman"/>
          <w:bCs/>
          <w:szCs w:val="20"/>
          <w:lang w:val="en-US"/>
        </w:rPr>
        <w:t>REPUBLIKA HRVATSKA</w:t>
      </w:r>
    </w:p>
    <w:p>
      <w:pPr>
        <w:pStyle w:val="Normal"/>
        <w:widowControl w:val="false"/>
        <w:ind w:right="-99" w:hanging="0"/>
        <w:rPr>
          <w:rFonts w:eastAsia="Times New Roman"/>
          <w:bCs/>
          <w:szCs w:val="20"/>
        </w:rPr>
      </w:pPr>
      <w:r>
        <w:rPr>
          <w:rFonts w:eastAsia="Times New Roman"/>
          <w:bCs/>
          <w:szCs w:val="20"/>
          <w:lang w:val="en-US"/>
        </w:rPr>
        <w:t xml:space="preserve"> </w:t>
      </w:r>
      <w:r>
        <w:rPr>
          <w:rFonts w:eastAsia="Times New Roman"/>
          <w:bCs/>
          <w:szCs w:val="20"/>
          <w:lang w:val="en-US"/>
        </w:rPr>
        <w:t>TRGOVAČKI SUD U PAZINU</w:t>
      </w:r>
    </w:p>
    <w:p>
      <w:pPr>
        <w:pStyle w:val="Normal"/>
        <w:widowControl w:val="false"/>
        <w:ind w:right="-99" w:hanging="0"/>
        <w:rPr>
          <w:rFonts w:eastAsia="Times New Roman"/>
          <w:bCs/>
          <w:szCs w:val="20"/>
        </w:rPr>
      </w:pPr>
      <w:r>
        <w:rPr>
          <w:rFonts w:eastAsia="Times New Roman"/>
          <w:bCs/>
          <w:szCs w:val="20"/>
        </w:rPr>
        <w:t xml:space="preserve">       </w:t>
      </w:r>
      <w:r>
        <w:rPr>
          <w:rFonts w:eastAsia="Times New Roman"/>
          <w:bCs/>
          <w:szCs w:val="20"/>
        </w:rPr>
        <w:t>Dršćevka 1, 52000 Pazin</w:t>
      </w:r>
    </w:p>
    <w:p>
      <w:pPr>
        <w:pStyle w:val="Normal"/>
        <w:jc w:val="left"/>
        <w:rPr>
          <w:rFonts w:eastAsia="Times New Roman"/>
          <w:szCs w:val="24"/>
          <w:lang w:eastAsia="hr-HR"/>
        </w:rPr>
      </w:pPr>
      <w:r>
        <w:rPr>
          <w:rFonts w:eastAsia="Times New Roman"/>
          <w:szCs w:val="24"/>
          <w:lang w:eastAsia="hr-HR"/>
        </w:rPr>
      </w:r>
    </w:p>
    <w:p>
      <w:pPr>
        <w:pStyle w:val="Normal"/>
        <w:jc w:val="center"/>
        <w:rPr>
          <w:rFonts w:eastAsia="Times New Roman"/>
          <w:szCs w:val="24"/>
          <w:lang w:eastAsia="hr-HR"/>
        </w:rPr>
      </w:pPr>
      <w:r>
        <w:rPr>
          <w:rFonts w:eastAsia="Times New Roman"/>
          <w:szCs w:val="24"/>
          <w:lang w:eastAsia="hr-HR"/>
        </w:rPr>
        <w:t>U   I M E   R E P U B L I K E   H R V A T S K E</w:t>
      </w:r>
    </w:p>
    <w:p>
      <w:pPr>
        <w:pStyle w:val="Normal"/>
        <w:jc w:val="left"/>
        <w:rPr>
          <w:rFonts w:eastAsia="Times New Roman"/>
          <w:szCs w:val="24"/>
          <w:lang w:eastAsia="hr-HR"/>
        </w:rPr>
      </w:pPr>
      <w:r>
        <w:rPr>
          <w:rFonts w:eastAsia="Times New Roman"/>
          <w:szCs w:val="24"/>
          <w:lang w:eastAsia="hr-HR"/>
        </w:rPr>
      </w:r>
    </w:p>
    <w:p>
      <w:pPr>
        <w:pStyle w:val="Normal"/>
        <w:jc w:val="center"/>
        <w:rPr>
          <w:rFonts w:eastAsia="Times New Roman"/>
          <w:szCs w:val="24"/>
          <w:lang w:eastAsia="hr-HR"/>
        </w:rPr>
      </w:pPr>
      <w:r>
        <w:rPr>
          <w:rFonts w:eastAsia="Times New Roman"/>
          <w:szCs w:val="24"/>
          <w:lang w:eastAsia="hr-HR"/>
        </w:rPr>
        <w:t>P R E S U D A</w:t>
      </w:r>
    </w:p>
    <w:p>
      <w:pPr>
        <w:pStyle w:val="Normal"/>
        <w:jc w:val="left"/>
        <w:rPr>
          <w:rFonts w:eastAsia="Times New Roman"/>
          <w:szCs w:val="24"/>
          <w:lang w:eastAsia="hr-HR"/>
        </w:rPr>
      </w:pPr>
      <w:r>
        <w:rPr>
          <w:rFonts w:eastAsia="Times New Roman"/>
          <w:szCs w:val="24"/>
          <w:lang w:eastAsia="hr-HR"/>
        </w:rPr>
      </w:r>
    </w:p>
    <w:p>
      <w:pPr>
        <w:pStyle w:val="Normal"/>
        <w:ind w:firstLine="708"/>
        <w:rPr>
          <w:rFonts w:eastAsia="Times New Roman"/>
          <w:szCs w:val="24"/>
          <w:lang w:eastAsia="hr-HR"/>
        </w:rPr>
      </w:pPr>
      <w:r>
        <w:rPr>
          <w:rFonts w:eastAsia="Times New Roman"/>
          <w:szCs w:val="24"/>
          <w:lang w:eastAsia="hr-HR"/>
        </w:rPr>
        <w:t>Trgovački sud u Pazinu, po sutkinji Adrijani Labinjan Skok, na temelju prijedloga više sudske savjetnice Marlene Pamić, u pravnoj stvari tužitelja ORTO d.o.o., Pula, Kupelwieserova 4, OIB 08497462140, kojeg zastupa punomoćnik Milenko Ilić, odvjetnik u Puli, Mletačka 12/I, protiv tuženika ULJANIK STROJOGRADNJA d.d., Pula, Flaciusova 1, OIB 36934697422, radi isplate, nakon održane glavne rasprave zaključene11. prosinca 2015. u prisutnosti punomoćnika tužitelja, 25. siječnja 2016.</w:t>
      </w:r>
    </w:p>
    <w:p>
      <w:pPr>
        <w:pStyle w:val="Normal"/>
        <w:rPr>
          <w:rFonts w:eastAsia="Times New Roman"/>
          <w:szCs w:val="24"/>
          <w:lang w:eastAsia="hr-HR"/>
        </w:rPr>
      </w:pPr>
      <w:r>
        <w:rPr>
          <w:rFonts w:eastAsia="Times New Roman"/>
          <w:szCs w:val="24"/>
          <w:lang w:eastAsia="hr-HR"/>
        </w:rPr>
      </w:r>
    </w:p>
    <w:p>
      <w:pPr>
        <w:pStyle w:val="Normal"/>
        <w:jc w:val="center"/>
        <w:rPr>
          <w:rFonts w:eastAsia="Times New Roman"/>
          <w:szCs w:val="24"/>
          <w:lang w:eastAsia="hr-HR"/>
        </w:rPr>
      </w:pPr>
      <w:r>
        <w:rPr>
          <w:rFonts w:eastAsia="Times New Roman"/>
          <w:szCs w:val="24"/>
          <w:lang w:eastAsia="hr-HR"/>
        </w:rPr>
        <w:t>p r e s u d i o   j e</w:t>
      </w:r>
    </w:p>
    <w:p>
      <w:pPr>
        <w:pStyle w:val="Normal"/>
        <w:jc w:val="left"/>
        <w:rPr>
          <w:rFonts w:eastAsia="Times New Roman"/>
          <w:szCs w:val="24"/>
          <w:lang w:eastAsia="hr-HR"/>
        </w:rPr>
      </w:pPr>
      <w:r>
        <w:rPr>
          <w:rFonts w:eastAsia="Times New Roman"/>
          <w:szCs w:val="24"/>
          <w:lang w:eastAsia="hr-HR"/>
        </w:rPr>
      </w:r>
    </w:p>
    <w:p>
      <w:pPr>
        <w:pStyle w:val="Normal"/>
        <w:ind w:firstLine="708"/>
        <w:rPr/>
      </w:pPr>
      <w:r>
        <w:rPr>
          <w:rFonts w:eastAsia="Times New Roman"/>
          <w:szCs w:val="24"/>
          <w:lang w:eastAsia="hr-HR"/>
        </w:rPr>
        <w:t>I. Održava se</w:t>
      </w:r>
      <w:r>
        <w:rPr/>
        <w:t xml:space="preserve"> na snazi platni nalog sadržan u rješenju o ovrsi na temelju vjerodostojne isprave javnog bilježnika Sonje Obrovac Skira posl. br.: Ovrv-150/13 od 17. srpnja 2013. u dijelu u kojem je tuženiku </w:t>
      </w:r>
      <w:r>
        <w:rPr>
          <w:rFonts w:eastAsia="Times New Roman"/>
          <w:szCs w:val="24"/>
          <w:lang w:eastAsia="hr-HR"/>
        </w:rPr>
        <w:t xml:space="preserve">ULJANIK STROJOGRADNJA d.d., Pula, Flaciusova 1, </w:t>
        <w:br/>
        <w:t xml:space="preserve">OIB 36934697422 </w:t>
      </w:r>
      <w:r>
        <w:rPr/>
        <w:t xml:space="preserve">naloženo da u roku od osam dana tužitelju </w:t>
      </w:r>
      <w:r>
        <w:rPr>
          <w:rFonts w:eastAsia="Times New Roman"/>
          <w:szCs w:val="24"/>
          <w:lang w:eastAsia="hr-HR"/>
        </w:rPr>
        <w:t>ORTO d.o.o., Pula, Kupelwieserova 4, OIB 08497462140</w:t>
      </w:r>
      <w:r>
        <w:rPr/>
        <w:t xml:space="preserve"> namiri tražbinu od 137.416,59 kn (stotridesetsedamtisućačetiristošesnaest kuna i pedesetdevet lipa) sa zateznim kamatama koje na taj iznos teku od 18. lipnja 2013. do isplate, </w:t>
      </w:r>
      <w:r>
        <w:rPr>
          <w:rFonts w:eastAsia="Times New Roman"/>
          <w:szCs w:val="24"/>
          <w:lang w:eastAsia="hr-HR"/>
        </w:rPr>
        <w:t xml:space="preserve">po stopi od 15 % godišnje do 31. srpnja 2015., a od 1. kolovoza 2015. po stopi koja se određuje za svako polugodište </w:t>
      </w:r>
      <w:r>
        <w:rPr/>
        <w:t>uvećanjem prosječne kamatne stope na stanja kredita odobrenih na razdoblje dulje od godine dana nefinancijskim trgovačkim društvima izračunate za referentno razdoblje koje prethodi tekućem polugodištu za pet postotnih poena; kao i u dijelu u kojem je tuženiku naloženo da u roku od osam dana tužitelju plati troškove ovršnog postupka u iznosu od 4.536,18 kn (četiritisućepetstotridesetšest kuna i osamnaest lipa).</w:t>
      </w:r>
    </w:p>
    <w:p>
      <w:pPr>
        <w:pStyle w:val="Normal"/>
        <w:ind w:firstLine="708"/>
        <w:rPr/>
      </w:pPr>
      <w:r>
        <w:rPr/>
      </w:r>
    </w:p>
    <w:p>
      <w:pPr>
        <w:pStyle w:val="Normal"/>
        <w:ind w:firstLine="708"/>
        <w:rPr/>
      </w:pPr>
      <w:r>
        <w:rPr/>
        <w:t>II. Ukida se platni nalog sadržan u rješenju o ovrsi na temelju vjerodostojne isprave javnog bilježnika Sonje Obrovac Skira posl. br.: Ovrv-150/13 od 17. srpnja 2013. u dijelu u kojem je tuženiku naloženo da u roku od osam dana tužitelju namiri tražbinu u iznosu od 37.009,12 kn sa zateznim kamatama koje teku:</w:t>
      </w:r>
    </w:p>
    <w:p>
      <w:pPr>
        <w:pStyle w:val="Normal"/>
        <w:ind w:firstLine="708"/>
        <w:rPr/>
      </w:pPr>
      <w:r>
        <w:rPr/>
        <w:t>- na iznos od 8.880,92 kn od 22. ožujka 2010.,</w:t>
      </w:r>
    </w:p>
    <w:p>
      <w:pPr>
        <w:pStyle w:val="Normal"/>
        <w:ind w:firstLine="708"/>
        <w:rPr/>
      </w:pPr>
      <w:r>
        <w:rPr/>
        <w:t xml:space="preserve">- na iznos od 8.293,13 kn od 29. travnja 2010., </w:t>
      </w:r>
    </w:p>
    <w:p>
      <w:pPr>
        <w:pStyle w:val="Normal"/>
        <w:ind w:firstLine="708"/>
        <w:rPr/>
      </w:pPr>
      <w:r>
        <w:rPr/>
        <w:t>- na iznos od 6.694,05 kn od 29. travnja 2010.,</w:t>
      </w:r>
    </w:p>
    <w:p>
      <w:pPr>
        <w:pStyle w:val="Normal"/>
        <w:ind w:firstLine="708"/>
        <w:rPr/>
      </w:pPr>
      <w:r>
        <w:rPr/>
        <w:t>- na iznos od 2.597,63 kn od 24. ožujka 2011.,</w:t>
      </w:r>
    </w:p>
    <w:p>
      <w:pPr>
        <w:pStyle w:val="Normal"/>
        <w:ind w:firstLine="708"/>
        <w:rPr/>
      </w:pPr>
      <w:r>
        <w:rPr/>
        <w:t>- na iznos od 2.447,31 kn od 18. travnja 2011.,</w:t>
      </w:r>
    </w:p>
    <w:p>
      <w:pPr>
        <w:pStyle w:val="Normal"/>
        <w:ind w:firstLine="708"/>
        <w:rPr/>
      </w:pPr>
      <w:r>
        <w:rPr/>
        <w:t>- na iznos od 4.334,56 kn od 30. ožujka 2012.,</w:t>
      </w:r>
    </w:p>
    <w:p>
      <w:pPr>
        <w:pStyle w:val="Normal"/>
        <w:ind w:firstLine="708"/>
        <w:rPr/>
      </w:pPr>
      <w:r>
        <w:rPr/>
        <w:t>- na iznos od 3.761,52 kn od 6. rujna 2012. pa sve do isplate;</w:t>
      </w:r>
    </w:p>
    <w:p>
      <w:pPr>
        <w:pStyle w:val="Normal"/>
        <w:ind w:firstLine="708"/>
        <w:rPr/>
      </w:pPr>
      <w:r>
        <w:rPr/>
        <w:t xml:space="preserve"> </w:t>
      </w:r>
      <w:r>
        <w:rPr/>
        <w:t xml:space="preserve">kao i u dijelu u kojem je tuženiku naloženo da tužitelju plati zatezne kamate koje teku: </w:t>
      </w:r>
    </w:p>
    <w:p>
      <w:pPr>
        <w:pStyle w:val="Normal"/>
        <w:ind w:firstLine="708"/>
        <w:rPr/>
      </w:pPr>
      <w:r>
        <w:rPr/>
        <w:t>- na iznos od 6.934,02 kn od 23. lipnja 2010.,</w:t>
      </w:r>
    </w:p>
    <w:p>
      <w:pPr>
        <w:pStyle w:val="Normal"/>
        <w:ind w:firstLine="708"/>
        <w:rPr/>
      </w:pPr>
      <w:r>
        <w:rPr/>
        <w:t>- na iznos od 273,99 kn od 23. lipnja 2010.,</w:t>
      </w:r>
    </w:p>
    <w:p>
      <w:pPr>
        <w:pStyle w:val="Normal"/>
        <w:ind w:firstLine="708"/>
        <w:rPr/>
      </w:pPr>
      <w:r>
        <w:rPr/>
        <w:t xml:space="preserve">- na iznos od 272,13 kn od 23. lipnja 2010., </w:t>
      </w:r>
    </w:p>
    <w:p>
      <w:pPr>
        <w:pStyle w:val="Normal"/>
        <w:ind w:firstLine="708"/>
        <w:rPr/>
      </w:pPr>
      <w:r>
        <w:rPr/>
        <w:t>- na iznos od 4.810,79 kn od 23. lipnja 2010.,</w:t>
      </w:r>
    </w:p>
    <w:p>
      <w:pPr>
        <w:pStyle w:val="Normal"/>
        <w:ind w:firstLine="708"/>
        <w:rPr/>
      </w:pPr>
      <w:r>
        <w:rPr/>
        <w:t>- na iznos od 6.201,01 kn od 19. kolovoza 2010.,</w:t>
      </w:r>
    </w:p>
    <w:p>
      <w:pPr>
        <w:pStyle w:val="Normal"/>
        <w:ind w:firstLine="708"/>
        <w:rPr/>
      </w:pPr>
      <w:r>
        <w:rPr/>
        <w:t xml:space="preserve">- na iznos od 122,02 kn od 19. kolovoza 2010., </w:t>
      </w:r>
    </w:p>
    <w:p>
      <w:pPr>
        <w:pStyle w:val="Normal"/>
        <w:ind w:firstLine="708"/>
        <w:rPr/>
      </w:pPr>
      <w:r>
        <w:rPr/>
        <w:t xml:space="preserve">- na iznos od 239,06 kn od 19. kolovoza 2010., </w:t>
      </w:r>
    </w:p>
    <w:p>
      <w:pPr>
        <w:pStyle w:val="Normal"/>
        <w:ind w:firstLine="708"/>
        <w:rPr/>
      </w:pPr>
      <w:r>
        <w:rPr/>
        <w:t>- na iznos od 4.768,04 kn od 21. rujna 2010.,</w:t>
      </w:r>
    </w:p>
    <w:p>
      <w:pPr>
        <w:pStyle w:val="Normal"/>
        <w:ind w:firstLine="708"/>
        <w:rPr/>
      </w:pPr>
      <w:r>
        <w:rPr/>
        <w:t>- na iznos od 4.465,93 kn od 26. listopada 2010.,</w:t>
      </w:r>
    </w:p>
    <w:p>
      <w:pPr>
        <w:pStyle w:val="Normal"/>
        <w:ind w:firstLine="708"/>
        <w:rPr/>
      </w:pPr>
      <w:r>
        <w:rPr/>
        <w:t>- na iznos od 5.698,58 kn od 16. studenog 2010.,</w:t>
      </w:r>
    </w:p>
    <w:p>
      <w:pPr>
        <w:pStyle w:val="Normal"/>
        <w:ind w:firstLine="708"/>
        <w:rPr/>
      </w:pPr>
      <w:r>
        <w:rPr/>
        <w:t>- na iznos od 3.842,89 kn od 29. studenog 2010.,</w:t>
      </w:r>
    </w:p>
    <w:p>
      <w:pPr>
        <w:pStyle w:val="Normal"/>
        <w:ind w:firstLine="708"/>
        <w:rPr/>
      </w:pPr>
      <w:r>
        <w:rPr/>
        <w:t>- na iznos od 4.366,68 kn od 28. siječnja 2011.,</w:t>
      </w:r>
    </w:p>
    <w:p>
      <w:pPr>
        <w:pStyle w:val="Normal"/>
        <w:ind w:firstLine="708"/>
        <w:rPr/>
      </w:pPr>
      <w:r>
        <w:rPr/>
        <w:t>- na iznos od 5.162,57 kn od 28. siječnja 2011.,</w:t>
      </w:r>
    </w:p>
    <w:p>
      <w:pPr>
        <w:pStyle w:val="Normal"/>
        <w:ind w:firstLine="708"/>
        <w:rPr/>
      </w:pPr>
      <w:r>
        <w:rPr/>
        <w:t>- na iznos od 4.198,83 kn od 28. veljače 2011.,</w:t>
      </w:r>
    </w:p>
    <w:p>
      <w:pPr>
        <w:pStyle w:val="Normal"/>
        <w:ind w:firstLine="708"/>
        <w:rPr/>
      </w:pPr>
      <w:r>
        <w:rPr/>
        <w:t>- na iznos od 2.952,11 kn od 20. svibnja 2011.,</w:t>
      </w:r>
    </w:p>
    <w:p>
      <w:pPr>
        <w:pStyle w:val="Normal"/>
        <w:ind w:firstLine="708"/>
        <w:rPr/>
      </w:pPr>
      <w:r>
        <w:rPr/>
        <w:t>- na iznos od 3.602,01 kn od 21. lipnja 2011.,</w:t>
      </w:r>
    </w:p>
    <w:p>
      <w:pPr>
        <w:pStyle w:val="Normal"/>
        <w:ind w:firstLine="708"/>
        <w:rPr/>
      </w:pPr>
      <w:r>
        <w:rPr/>
        <w:t>- na iznos od 3.174,52 kn od 21. srpnja 2011.,</w:t>
      </w:r>
    </w:p>
    <w:p>
      <w:pPr>
        <w:pStyle w:val="Normal"/>
        <w:ind w:firstLine="708"/>
        <w:rPr/>
      </w:pPr>
      <w:r>
        <w:rPr/>
        <w:t>- na iznos od 2.405,22 kn od 19. kolovoza 2011.,</w:t>
      </w:r>
    </w:p>
    <w:p>
      <w:pPr>
        <w:pStyle w:val="Normal"/>
        <w:ind w:firstLine="708"/>
        <w:rPr/>
      </w:pPr>
      <w:r>
        <w:rPr/>
        <w:t>- na iznos od 3.392,69 kn od 29. rujna 2011.,</w:t>
      </w:r>
    </w:p>
    <w:p>
      <w:pPr>
        <w:pStyle w:val="Normal"/>
        <w:ind w:firstLine="708"/>
        <w:rPr/>
      </w:pPr>
      <w:r>
        <w:rPr/>
        <w:t>- na iznos od 2.709,91 kn od 21. listopada 2011.,</w:t>
      </w:r>
    </w:p>
    <w:p>
      <w:pPr>
        <w:pStyle w:val="Normal"/>
        <w:ind w:firstLine="708"/>
        <w:rPr/>
      </w:pPr>
      <w:r>
        <w:rPr/>
        <w:t>- na iznos od 2.122,51 kn od 22. studenog 2011.,</w:t>
      </w:r>
    </w:p>
    <w:p>
      <w:pPr>
        <w:pStyle w:val="Normal"/>
        <w:ind w:firstLine="708"/>
        <w:rPr/>
      </w:pPr>
      <w:r>
        <w:rPr/>
        <w:t>- na iznos od 2.280,95 kn od 22. prosinca 2011.,</w:t>
      </w:r>
    </w:p>
    <w:p>
      <w:pPr>
        <w:pStyle w:val="Normal"/>
        <w:ind w:firstLine="708"/>
        <w:rPr/>
      </w:pPr>
      <w:r>
        <w:rPr/>
        <w:t>- na iznos od 2.773,84 kn od 16. veljače 2012.,</w:t>
      </w:r>
    </w:p>
    <w:p>
      <w:pPr>
        <w:pStyle w:val="Normal"/>
        <w:ind w:firstLine="708"/>
        <w:rPr/>
      </w:pPr>
      <w:r>
        <w:rPr/>
        <w:t>- na iznos od 4.079,36 kn od 06. ožujka 2012.,</w:t>
      </w:r>
    </w:p>
    <w:p>
      <w:pPr>
        <w:pStyle w:val="Normal"/>
        <w:ind w:firstLine="708"/>
        <w:rPr/>
      </w:pPr>
      <w:r>
        <w:rPr/>
        <w:t>- na iznos od 6.017,13 kn od 22. svibnja 2012.,</w:t>
      </w:r>
    </w:p>
    <w:p>
      <w:pPr>
        <w:pStyle w:val="Normal"/>
        <w:ind w:firstLine="708"/>
        <w:rPr/>
      </w:pPr>
      <w:r>
        <w:rPr/>
        <w:t>- na iznos od 5.996,06 kn od 09. srpnja 2012.,</w:t>
      </w:r>
    </w:p>
    <w:p>
      <w:pPr>
        <w:pStyle w:val="Normal"/>
        <w:ind w:firstLine="708"/>
        <w:rPr/>
      </w:pPr>
      <w:r>
        <w:rPr/>
        <w:t>- na iznos od 5.612,18 kn od 09. srpnja 2012.,</w:t>
      </w:r>
    </w:p>
    <w:p>
      <w:pPr>
        <w:pStyle w:val="Normal"/>
        <w:ind w:firstLine="708"/>
        <w:rPr/>
      </w:pPr>
      <w:r>
        <w:rPr/>
        <w:t xml:space="preserve">- na iznos od 6.277,03 kn od 21. kolovoza 2012., </w:t>
      </w:r>
    </w:p>
    <w:p>
      <w:pPr>
        <w:pStyle w:val="Normal"/>
        <w:ind w:firstLine="708"/>
        <w:rPr/>
      </w:pPr>
      <w:r>
        <w:rPr/>
        <w:t>- na iznos od 4.614,36 kn od 16. studenog 2012.,</w:t>
      </w:r>
    </w:p>
    <w:p>
      <w:pPr>
        <w:pStyle w:val="Normal"/>
        <w:ind w:firstLine="708"/>
        <w:rPr/>
      </w:pPr>
      <w:r>
        <w:rPr/>
        <w:t xml:space="preserve">- na iznos od 7.183,89 kn od 20. prosinca 2012., </w:t>
      </w:r>
    </w:p>
    <w:p>
      <w:pPr>
        <w:pStyle w:val="Normal"/>
        <w:ind w:firstLine="708"/>
        <w:rPr/>
      </w:pPr>
      <w:r>
        <w:rPr/>
        <w:t>- na iznos od 9.047,70 kn od 28. siječnja 2013., te</w:t>
      </w:r>
    </w:p>
    <w:p>
      <w:pPr>
        <w:pStyle w:val="Normal"/>
        <w:ind w:firstLine="708"/>
        <w:rPr/>
      </w:pPr>
      <w:r>
        <w:rPr/>
        <w:t>- na iznos od 11.818,58 kn od 13. ožujka 2013.,</w:t>
      </w:r>
    </w:p>
    <w:p>
      <w:pPr>
        <w:pStyle w:val="Normal"/>
        <w:ind w:firstLine="708"/>
        <w:rPr/>
      </w:pPr>
      <w:r>
        <w:rPr/>
        <w:t>pa sve do 17. lipnja 2013., kao i da mu namiri troškove ovršnog postupka u iznosu 1.905,82 kn te se u tom dijelu zahtjev tužitelja odbija.</w:t>
      </w:r>
    </w:p>
    <w:p>
      <w:pPr>
        <w:pStyle w:val="Normal"/>
        <w:ind w:firstLine="708"/>
        <w:rPr>
          <w:rFonts w:eastAsia="Times New Roman"/>
          <w:szCs w:val="24"/>
          <w:lang w:eastAsia="hr-HR"/>
        </w:rPr>
      </w:pPr>
      <w:r>
        <w:rPr>
          <w:rFonts w:eastAsia="Times New Roman"/>
          <w:szCs w:val="24"/>
          <w:lang w:eastAsia="hr-HR"/>
        </w:rPr>
      </w:r>
    </w:p>
    <w:p>
      <w:pPr>
        <w:pStyle w:val="Normal"/>
        <w:ind w:firstLine="708"/>
        <w:rPr>
          <w:rFonts w:eastAsia="Times New Roman"/>
          <w:szCs w:val="24"/>
          <w:lang w:eastAsia="hr-HR"/>
        </w:rPr>
      </w:pPr>
      <w:r>
        <w:rPr>
          <w:rFonts w:eastAsia="Times New Roman"/>
          <w:szCs w:val="24"/>
          <w:lang w:eastAsia="hr-HR"/>
        </w:rPr>
        <w:t>III. Nalaže se tuženiku da tužitelju naknadi troškove parničnog postupka u iznosu 4.123,01 kn</w:t>
      </w:r>
      <w:r>
        <w:rPr/>
        <w:t xml:space="preserve"> </w:t>
      </w:r>
      <w:r>
        <w:rPr>
          <w:rFonts w:eastAsia="Times New Roman"/>
          <w:szCs w:val="24"/>
          <w:lang w:eastAsia="hr-HR"/>
        </w:rPr>
        <w:t>(četiritisućestodvadesettri kune i jedna lipa) u roku od osam dana.</w:t>
      </w:r>
    </w:p>
    <w:p>
      <w:pPr>
        <w:pStyle w:val="Normal"/>
        <w:ind w:firstLine="708"/>
        <w:rPr>
          <w:rFonts w:eastAsia="Times New Roman"/>
          <w:szCs w:val="24"/>
          <w:lang w:eastAsia="hr-HR"/>
        </w:rPr>
      </w:pPr>
      <w:r>
        <w:rPr>
          <w:rFonts w:eastAsia="Times New Roman"/>
          <w:szCs w:val="24"/>
          <w:lang w:eastAsia="hr-HR"/>
        </w:rPr>
      </w:r>
    </w:p>
    <w:p>
      <w:pPr>
        <w:pStyle w:val="Normal"/>
        <w:ind w:firstLine="708"/>
        <w:rPr>
          <w:rFonts w:eastAsia="Times New Roman"/>
          <w:szCs w:val="24"/>
          <w:lang w:eastAsia="hr-HR"/>
        </w:rPr>
      </w:pPr>
      <w:r>
        <w:rPr>
          <w:rFonts w:eastAsia="Times New Roman"/>
          <w:szCs w:val="24"/>
          <w:lang w:eastAsia="hr-HR"/>
        </w:rPr>
        <w:t>IV. Dio zahtjeva tužitelja za naknadu parničnih troškova u iznosu 2.126,99 kn se odbija.</w:t>
      </w:r>
    </w:p>
    <w:p>
      <w:pPr>
        <w:pStyle w:val="Normal"/>
        <w:jc w:val="left"/>
        <w:rPr>
          <w:rFonts w:eastAsia="Times New Roman"/>
          <w:szCs w:val="24"/>
          <w:lang w:eastAsia="hr-HR"/>
        </w:rPr>
      </w:pPr>
      <w:r>
        <w:rPr>
          <w:rFonts w:eastAsia="Times New Roman"/>
          <w:szCs w:val="24"/>
          <w:lang w:eastAsia="hr-HR"/>
        </w:rPr>
      </w:r>
    </w:p>
    <w:p>
      <w:pPr>
        <w:pStyle w:val="Normal"/>
        <w:jc w:val="center"/>
        <w:rPr>
          <w:rFonts w:eastAsia="Times New Roman"/>
          <w:szCs w:val="24"/>
          <w:lang w:eastAsia="hr-HR"/>
        </w:rPr>
      </w:pPr>
      <w:r>
        <w:rPr>
          <w:rFonts w:eastAsia="Times New Roman"/>
          <w:szCs w:val="24"/>
          <w:lang w:eastAsia="hr-HR"/>
        </w:rPr>
        <w:t>Obrazloženje</w:t>
      </w:r>
    </w:p>
    <w:p>
      <w:pPr>
        <w:pStyle w:val="Normal"/>
        <w:jc w:val="left"/>
        <w:rPr>
          <w:rFonts w:eastAsia="Times New Roman"/>
          <w:szCs w:val="24"/>
          <w:lang w:eastAsia="hr-HR"/>
        </w:rPr>
      </w:pPr>
      <w:r>
        <w:rPr>
          <w:rFonts w:eastAsia="Times New Roman"/>
          <w:szCs w:val="24"/>
          <w:lang w:eastAsia="hr-HR"/>
        </w:rPr>
      </w:r>
    </w:p>
    <w:p>
      <w:pPr>
        <w:pStyle w:val="Normal"/>
        <w:ind w:firstLine="708"/>
        <w:rPr/>
      </w:pPr>
      <w:r>
        <w:rPr>
          <w:rFonts w:eastAsia="Times New Roman"/>
          <w:szCs w:val="24"/>
          <w:lang w:eastAsia="hr-HR"/>
        </w:rPr>
        <w:t xml:space="preserve">Povodom prijedloga ovrhovoditelja, ovdje tužitelja, na temelju vjerodostojne isprave javni bilježnik Sonja Obrovac Skira donijela je rješenje o ovrsi </w:t>
      </w:r>
      <w:r>
        <w:rPr/>
        <w:t>posl. br.: Ovrv-150/13 od 17. srpnja 2013. kojim je ovršeniku, ovdje tuženiku, naloženo da tužitelju u roku od osam dana namiri tražbinu u iznosu od 174.425,71 kn sa zateznim kamatama koje teku:</w:t>
      </w:r>
    </w:p>
    <w:p>
      <w:pPr>
        <w:pStyle w:val="Normal"/>
        <w:ind w:firstLine="708"/>
        <w:rPr/>
      </w:pPr>
      <w:r>
        <w:rPr/>
        <w:t>- na iznos od 8.880,92 kn od 22.03.2010.,</w:t>
      </w:r>
    </w:p>
    <w:p>
      <w:pPr>
        <w:pStyle w:val="Normal"/>
        <w:ind w:firstLine="708"/>
        <w:rPr/>
      </w:pPr>
      <w:r>
        <w:rPr/>
        <w:t>- na iznos od 8.293,13 kn od 29.04.2010.,</w:t>
      </w:r>
    </w:p>
    <w:p>
      <w:pPr>
        <w:pStyle w:val="Normal"/>
        <w:ind w:firstLine="708"/>
        <w:rPr/>
      </w:pPr>
      <w:r>
        <w:rPr/>
        <w:t>- na iznos od 6.694,05 knod 29.04.2010.,</w:t>
      </w:r>
    </w:p>
    <w:p>
      <w:pPr>
        <w:pStyle w:val="Normal"/>
        <w:ind w:firstLine="708"/>
        <w:rPr/>
      </w:pPr>
      <w:r>
        <w:rPr/>
        <w:t>- na iznos od 6.934,02 kn od 23.06.2010.,</w:t>
      </w:r>
    </w:p>
    <w:p>
      <w:pPr>
        <w:pStyle w:val="Normal"/>
        <w:ind w:firstLine="708"/>
        <w:rPr/>
      </w:pPr>
      <w:r>
        <w:rPr/>
        <w:t>- na iznos od 273,99 kn od 23.06.2010.,</w:t>
      </w:r>
    </w:p>
    <w:p>
      <w:pPr>
        <w:pStyle w:val="Normal"/>
        <w:ind w:firstLine="708"/>
        <w:rPr/>
      </w:pPr>
      <w:r>
        <w:rPr/>
        <w:t xml:space="preserve">- na iznos od 272,13 kn od 23.06.2010., </w:t>
      </w:r>
    </w:p>
    <w:p>
      <w:pPr>
        <w:pStyle w:val="Normal"/>
        <w:ind w:firstLine="708"/>
        <w:rPr/>
      </w:pPr>
      <w:r>
        <w:rPr/>
        <w:t>- na iznos od 4.810,79 knod 23.06.2010.,</w:t>
      </w:r>
    </w:p>
    <w:p>
      <w:pPr>
        <w:pStyle w:val="Normal"/>
        <w:ind w:firstLine="708"/>
        <w:rPr/>
      </w:pPr>
      <w:r>
        <w:rPr/>
        <w:t>- na iznos od 6.201,01 kn od 19.08.2010.,</w:t>
      </w:r>
    </w:p>
    <w:p>
      <w:pPr>
        <w:pStyle w:val="Normal"/>
        <w:ind w:firstLine="708"/>
        <w:rPr/>
      </w:pPr>
      <w:r>
        <w:rPr/>
        <w:t xml:space="preserve">- na iznos od 122,02 kn od 19.08.2010., </w:t>
      </w:r>
    </w:p>
    <w:p>
      <w:pPr>
        <w:pStyle w:val="Normal"/>
        <w:ind w:firstLine="708"/>
        <w:rPr/>
      </w:pPr>
      <w:r>
        <w:rPr/>
        <w:t xml:space="preserve">- na iznos od 239,06 kn od 19.08.2010., </w:t>
      </w:r>
    </w:p>
    <w:p>
      <w:pPr>
        <w:pStyle w:val="Normal"/>
        <w:ind w:firstLine="708"/>
        <w:rPr/>
      </w:pPr>
      <w:r>
        <w:rPr/>
        <w:t>- na iznos od 4.768,04 kn od 21.09.2010.,</w:t>
      </w:r>
    </w:p>
    <w:p>
      <w:pPr>
        <w:pStyle w:val="Normal"/>
        <w:ind w:firstLine="708"/>
        <w:rPr/>
      </w:pPr>
      <w:r>
        <w:rPr/>
        <w:t>- na iznos od 4.465,93 kn od 26.10.2010.,</w:t>
      </w:r>
    </w:p>
    <w:p>
      <w:pPr>
        <w:pStyle w:val="Normal"/>
        <w:ind w:firstLine="708"/>
        <w:rPr/>
      </w:pPr>
      <w:r>
        <w:rPr/>
        <w:t>- na iznos od 5.698,58 kn od 16.11.2010.,</w:t>
      </w:r>
    </w:p>
    <w:p>
      <w:pPr>
        <w:pStyle w:val="Normal"/>
        <w:ind w:firstLine="708"/>
        <w:rPr/>
      </w:pPr>
      <w:r>
        <w:rPr/>
        <w:t>- na iznos od 3.842,89 kn od 29.11.2010.,</w:t>
      </w:r>
    </w:p>
    <w:p>
      <w:pPr>
        <w:pStyle w:val="Normal"/>
        <w:ind w:firstLine="708"/>
        <w:rPr/>
      </w:pPr>
      <w:r>
        <w:rPr/>
        <w:t>- na iznos od 4.366,68 kn od 28.01.2011.,</w:t>
      </w:r>
    </w:p>
    <w:p>
      <w:pPr>
        <w:pStyle w:val="Normal"/>
        <w:ind w:firstLine="708"/>
        <w:rPr/>
      </w:pPr>
      <w:r>
        <w:rPr/>
        <w:t>- na iznos od 5.162,57 kn od 28.01.2011.,</w:t>
      </w:r>
    </w:p>
    <w:p>
      <w:pPr>
        <w:pStyle w:val="Normal"/>
        <w:ind w:firstLine="708"/>
        <w:rPr/>
      </w:pPr>
      <w:r>
        <w:rPr/>
        <w:t>- na iznos od 4.198,83 kn od 28.02.2011.,</w:t>
      </w:r>
    </w:p>
    <w:p>
      <w:pPr>
        <w:pStyle w:val="Normal"/>
        <w:ind w:firstLine="708"/>
        <w:rPr/>
      </w:pPr>
      <w:r>
        <w:rPr/>
        <w:t>- na iznos od 2.597,63 kn od 24.03.2011.,</w:t>
      </w:r>
    </w:p>
    <w:p>
      <w:pPr>
        <w:pStyle w:val="Normal"/>
        <w:ind w:firstLine="708"/>
        <w:rPr/>
      </w:pPr>
      <w:r>
        <w:rPr/>
        <w:t>- na iznos od 2.447,31 kn od 18.04.2011.,</w:t>
      </w:r>
    </w:p>
    <w:p>
      <w:pPr>
        <w:pStyle w:val="Normal"/>
        <w:ind w:firstLine="708"/>
        <w:rPr/>
      </w:pPr>
      <w:r>
        <w:rPr/>
        <w:t>- na iznos od 2.952,11 kn od 20.05.2011.,</w:t>
      </w:r>
    </w:p>
    <w:p>
      <w:pPr>
        <w:pStyle w:val="Normal"/>
        <w:ind w:firstLine="708"/>
        <w:rPr/>
      </w:pPr>
      <w:r>
        <w:rPr/>
        <w:t>- na iznos od 3.602,01 kn od 21.06.2011.,</w:t>
      </w:r>
    </w:p>
    <w:p>
      <w:pPr>
        <w:pStyle w:val="Normal"/>
        <w:ind w:firstLine="708"/>
        <w:rPr/>
      </w:pPr>
      <w:r>
        <w:rPr/>
        <w:t>- na iznos od 3.174,52 kn od 21.07.2011.,</w:t>
      </w:r>
    </w:p>
    <w:p>
      <w:pPr>
        <w:pStyle w:val="Normal"/>
        <w:ind w:firstLine="708"/>
        <w:rPr/>
      </w:pPr>
      <w:r>
        <w:rPr/>
        <w:t>- na iznos od 2.405,22 kn od 19.08.2011.,</w:t>
      </w:r>
    </w:p>
    <w:p>
      <w:pPr>
        <w:pStyle w:val="Normal"/>
        <w:ind w:firstLine="708"/>
        <w:rPr/>
      </w:pPr>
      <w:r>
        <w:rPr/>
        <w:t>- na iznos od 3.392,69 kn od 29.09.2011.,</w:t>
      </w:r>
    </w:p>
    <w:p>
      <w:pPr>
        <w:pStyle w:val="Normal"/>
        <w:ind w:firstLine="708"/>
        <w:rPr/>
      </w:pPr>
      <w:r>
        <w:rPr/>
        <w:t>- na iznos od 2.709,91 kn od 21.10.2011.,</w:t>
      </w:r>
    </w:p>
    <w:p>
      <w:pPr>
        <w:pStyle w:val="Normal"/>
        <w:ind w:firstLine="708"/>
        <w:rPr/>
      </w:pPr>
      <w:r>
        <w:rPr/>
        <w:t>- na iznos od 2.122,51 kn od 22.11.2011.,</w:t>
      </w:r>
    </w:p>
    <w:p>
      <w:pPr>
        <w:pStyle w:val="Normal"/>
        <w:ind w:firstLine="708"/>
        <w:rPr/>
      </w:pPr>
      <w:r>
        <w:rPr/>
        <w:t>- na iznos od 2.280,95 kn od 22.12.2011.,</w:t>
      </w:r>
    </w:p>
    <w:p>
      <w:pPr>
        <w:pStyle w:val="Normal"/>
        <w:ind w:firstLine="708"/>
        <w:rPr/>
      </w:pPr>
      <w:r>
        <w:rPr/>
        <w:t>- na iznos od 2.773,84 kn od 16.02.2012.,</w:t>
      </w:r>
    </w:p>
    <w:p>
      <w:pPr>
        <w:pStyle w:val="Normal"/>
        <w:ind w:firstLine="708"/>
        <w:rPr/>
      </w:pPr>
      <w:r>
        <w:rPr/>
        <w:t>- na iznos od 4.079,36 kn od 06.03.2012.,</w:t>
      </w:r>
    </w:p>
    <w:p>
      <w:pPr>
        <w:pStyle w:val="Normal"/>
        <w:ind w:firstLine="708"/>
        <w:rPr/>
      </w:pPr>
      <w:r>
        <w:rPr/>
        <w:t>- na iznos od 4.334,56 kn od 30.03.2012.,</w:t>
      </w:r>
    </w:p>
    <w:p>
      <w:pPr>
        <w:pStyle w:val="Normal"/>
        <w:ind w:firstLine="708"/>
        <w:rPr/>
      </w:pPr>
      <w:r>
        <w:rPr/>
        <w:t>- na iznos od 6.017,13 knod 22.05.2012.,</w:t>
      </w:r>
    </w:p>
    <w:p>
      <w:pPr>
        <w:pStyle w:val="Normal"/>
        <w:ind w:firstLine="708"/>
        <w:rPr/>
      </w:pPr>
      <w:r>
        <w:rPr/>
        <w:t>- na iznos od 5.996,06 knod 09.07.2012.,</w:t>
      </w:r>
    </w:p>
    <w:p>
      <w:pPr>
        <w:pStyle w:val="Normal"/>
        <w:ind w:firstLine="708"/>
        <w:rPr/>
      </w:pPr>
      <w:r>
        <w:rPr/>
        <w:t>- na iznos od 5.612,18 kn od 09.07.2012.,</w:t>
      </w:r>
    </w:p>
    <w:p>
      <w:pPr>
        <w:pStyle w:val="Normal"/>
        <w:ind w:firstLine="708"/>
        <w:rPr/>
      </w:pPr>
      <w:r>
        <w:rPr/>
        <w:t xml:space="preserve">- na iznos od 6.277,03 kn od 21.08.2012., </w:t>
      </w:r>
    </w:p>
    <w:p>
      <w:pPr>
        <w:pStyle w:val="Normal"/>
        <w:ind w:firstLine="708"/>
        <w:rPr/>
      </w:pPr>
      <w:r>
        <w:rPr/>
        <w:t>- na iznos od 3.761,52 kn od 06.09.2012.,</w:t>
      </w:r>
    </w:p>
    <w:p>
      <w:pPr>
        <w:pStyle w:val="Normal"/>
        <w:ind w:firstLine="708"/>
        <w:rPr/>
      </w:pPr>
      <w:r>
        <w:rPr/>
        <w:t>- na iznos od 4.614,36 kn od 16.11.2012.,</w:t>
      </w:r>
    </w:p>
    <w:p>
      <w:pPr>
        <w:pStyle w:val="Normal"/>
        <w:ind w:firstLine="708"/>
        <w:rPr/>
      </w:pPr>
      <w:r>
        <w:rPr/>
        <w:t xml:space="preserve">- na iznos od 7.183,89 kn od 20.12.2012., </w:t>
      </w:r>
    </w:p>
    <w:p>
      <w:pPr>
        <w:pStyle w:val="Normal"/>
        <w:ind w:firstLine="708"/>
        <w:rPr/>
      </w:pPr>
      <w:r>
        <w:rPr/>
        <w:t>- na iznos od 9.047,70 kn od 28.01.2013., te</w:t>
      </w:r>
    </w:p>
    <w:p>
      <w:pPr>
        <w:pStyle w:val="Normal"/>
        <w:ind w:firstLine="708"/>
        <w:rPr/>
      </w:pPr>
      <w:r>
        <w:rPr/>
        <w:t>- na iznos od 11.818,58 kn od 13.03.2013.,</w:t>
      </w:r>
    </w:p>
    <w:p>
      <w:pPr>
        <w:pStyle w:val="Normal"/>
        <w:ind w:firstLine="708"/>
        <w:rPr>
          <w:rFonts w:eastAsia="Times New Roman"/>
          <w:szCs w:val="24"/>
          <w:lang w:eastAsia="hr-HR"/>
        </w:rPr>
      </w:pPr>
      <w:r>
        <w:rPr/>
        <w:t>pa sve do isplate u visini eskontne stope Hrvatske narodne banke koja je vrijedila zadnjeg dana polugodišta koje je prethodilo tekućem polugodištu uvećana za osam postotnih poena (t. 1.); kao i da mu naknadi troškove ovršnog postupka u iznosu 6.442,00 kn (t. 3.), a radi prisilne naplate tih tražbina određena je ovrha (t. 2.).</w:t>
      </w:r>
    </w:p>
    <w:p>
      <w:pPr>
        <w:pStyle w:val="Normal"/>
        <w:ind w:firstLine="708"/>
        <w:rPr/>
      </w:pPr>
      <w:r>
        <w:rPr/>
        <w:t>Protiv tog rješenja tuženik je izjavio pravodoban prigovor pa je rješenje o ovrsi rješenjem Općinskog suda u Puli – Pola, posl. br.: Povrv-773/2013-6 od 22. kolovoza 2013. stavljeno izvan snage u dijelu u kojem je određena ovrha te su u tom pogledu ukinute sve provedene radnje, dok je u odnosu na ostali dio određeno da će se postupak nastaviti kao u povodu prigovora protiv platnog naloga. Obzirom da se Općinski sud u Puli – Pola citiranim rješenjem oglasio stvarno nenadležnim, predmet je ustupljen ovom sudu kao stvarno i mjesno nadležnom.</w:t>
      </w:r>
    </w:p>
    <w:p>
      <w:pPr>
        <w:pStyle w:val="Normal"/>
        <w:ind w:firstLine="708"/>
        <w:rPr>
          <w:rFonts w:eastAsia="Times New Roman"/>
          <w:szCs w:val="20"/>
        </w:rPr>
      </w:pPr>
      <w:r>
        <w:rPr>
          <w:rFonts w:eastAsia="Times New Roman"/>
          <w:szCs w:val="20"/>
        </w:rPr>
        <w:t>Tuženik je u prigovoru naveo kako u cijelosti osporava rješenje o ovrsi. Ovršni prijedlog nije u skladu s vjerodostojnom ispravom – obračunom kamata. Predmet ovrhe su zatezne kamate za nepravodobno plaćene račune koje iznose 174.425,71 kn. Tuženik je istaknuo zastaru potraživanja zateznih kamata po računima broj 13 od 21. prosinca 2009. (u iznosu od 8.880,92 kn obračunatih kamata), po računu broj 2 od 28. veljače 2010. (u iznosu od 8.293,13 kn obračunatih kamata) te po računu broj 4 od 28. veljače 2010. (u iznosu od 6.694,05 kn obračunatih kamata), jer su prošle tri godine od datuma zadnje uplate po navedenim računima (22. ožujka i 29. travnja 2010. do datuma podnošenja prijedloga za ovrhu (18. lipnja 2013.). Naveo je kako je za račun broj 1 od 31. siječnja 2011. pogrešno naznačen datum dospijeća (28. veljače 2011. umjesto 2. ožujka 2011.), za račun broj 1 od 31. siječnja 2012. pogrešno je naznačen datum dospijeća (28. veljače umjesto 29. veljače 2012.) te za račun broj 11 od 30. lipnja 2012. naznačeno je dospijeće 31. srpnja 2012. umjesto 29. kolovoza 2012., što se sve odrazilo na razdoblje obračuna i visinu zateznih kamata. Neosnovano se potražuju kamate na obračunate zatezne kamate od prvog idućeg dana nakon što je obračun sačinjen, jer se procesne kamate mogu potraživati samo od podnošenja prijedloga za njihovu naplatu.</w:t>
      </w:r>
    </w:p>
    <w:p>
      <w:pPr>
        <w:pStyle w:val="Normal"/>
        <w:ind w:firstLine="708"/>
        <w:rPr>
          <w:rFonts w:eastAsia="Times New Roman"/>
          <w:szCs w:val="24"/>
          <w:lang w:eastAsia="hr-HR"/>
        </w:rPr>
      </w:pPr>
      <w:r>
        <w:rPr>
          <w:rFonts w:eastAsia="Times New Roman"/>
          <w:szCs w:val="24"/>
          <w:lang w:eastAsia="hr-HR"/>
        </w:rPr>
        <w:t>U dokaznom postupku izvedeni su dokazi čitanjem računa (listovi 9 - 47 spisa) te obračuna kamata za dospjela dugovanja od 1. siječnja 2010. do 31. prosinca 2012. (listovi 48-50 spisa).</w:t>
      </w:r>
    </w:p>
    <w:p>
      <w:pPr>
        <w:pStyle w:val="Normal"/>
        <w:ind w:firstLine="708"/>
        <w:rPr>
          <w:rFonts w:eastAsia="Times New Roman"/>
          <w:szCs w:val="24"/>
          <w:lang w:eastAsia="hr-HR"/>
        </w:rPr>
      </w:pPr>
      <w:r>
        <w:rPr>
          <w:rFonts w:eastAsia="Times New Roman"/>
          <w:szCs w:val="24"/>
          <w:lang w:eastAsia="hr-HR"/>
        </w:rPr>
        <w:t>Tužbeni zahtjev je osnovan u pretežitom dijelu.</w:t>
      </w:r>
    </w:p>
    <w:p>
      <w:pPr>
        <w:pStyle w:val="Normal"/>
        <w:ind w:firstLine="708"/>
        <w:rPr>
          <w:szCs w:val="24"/>
        </w:rPr>
      </w:pPr>
      <w:r>
        <w:rPr>
          <w:rFonts w:eastAsia="Times New Roman"/>
          <w:szCs w:val="24"/>
          <w:lang w:eastAsia="hr-HR"/>
        </w:rPr>
        <w:t>Predmet ovog spora je zahtjev tužitelja za isplatu iznosa od 174.425,71 kn na ime zateznih kamata zbog zakašnjenja u plaćanju izdanih računa</w:t>
      </w:r>
      <w:r>
        <w:rPr>
          <w:szCs w:val="24"/>
        </w:rPr>
        <w:t>.</w:t>
      </w:r>
    </w:p>
    <w:p>
      <w:pPr>
        <w:pStyle w:val="Normal"/>
        <w:ind w:firstLine="708"/>
        <w:rPr>
          <w:rFonts w:eastAsia="Times New Roman"/>
          <w:szCs w:val="20"/>
        </w:rPr>
      </w:pPr>
      <w:r>
        <w:rPr>
          <w:color w:val="000000"/>
          <w:szCs w:val="24"/>
          <w:shd w:fill="FFFFFF" w:val="clear"/>
        </w:rPr>
        <w:t xml:space="preserve">S obzirom na istaknute prigovore tuženika, sporno je je li nastupila zastara potraživanja zateznih kamata po računu broj </w:t>
      </w:r>
      <w:r>
        <w:rPr>
          <w:rFonts w:eastAsia="Times New Roman"/>
          <w:szCs w:val="20"/>
        </w:rPr>
        <w:t>13 od 21. prosinca 2009., po računu broj 2 od 28. veljače 2010. te po računu broj 4 od 28. veljače 2010., kao i činjenica je li tužitelj ispravno naveo datum dospijeća po računima broj 1 od 31. siječnja 2011., broj 1 od 31. siječnja 2012. te broj 11 od 30. lipnja 2012.</w:t>
      </w:r>
    </w:p>
    <w:p>
      <w:pPr>
        <w:pStyle w:val="Normal"/>
        <w:ind w:firstLine="708"/>
        <w:rPr>
          <w:rFonts w:eastAsia="Times New Roman"/>
          <w:szCs w:val="20"/>
        </w:rPr>
      </w:pPr>
      <w:r>
        <w:rPr>
          <w:rFonts w:eastAsia="Times New Roman"/>
          <w:szCs w:val="20"/>
        </w:rPr>
        <w:t>Odredbom čl. 214. st. 2. Zakona o obveznim odnosima (</w:t>
      </w:r>
      <w:r>
        <w:rPr>
          <w:rFonts w:eastAsia="Times New Roman"/>
          <w:szCs w:val="24"/>
          <w:lang w:eastAsia="hr-HR"/>
        </w:rPr>
        <w:t>„Narodne novine“ broj 35/05, 41/08, 78/15, nadalje ZOO</w:t>
      </w:r>
      <w:r>
        <w:rPr>
          <w:rFonts w:eastAsia="Times New Roman"/>
          <w:szCs w:val="20"/>
        </w:rPr>
        <w:t xml:space="preserve">), propisano je da zastara nastupa kad protekne zakonom određeno vrijeme u kojem je vjerovnik mogao zahtijevati ispunjenje obveze. Zastara počinje teći prvog dana poslije dana kad je vjerovnik imao pravo zahtijevati ispunjenje obveze, ako zakonom za pojedine slučajeve nije što drugo propisano (čl. 215. st. 1. ZOO-a). Tražbine povremenih davanja koja dospijevaju godišnje ili u kraćim razdobljima, pa bilo da se radi o sporednim povremenim tražbinama, kao što je tražbina kamata, bilo da se radi o takvim povremenim tražbinama u kojima se iscrpljuje samo pravo, kao što je tražbina uzdržavanja, zastarijevaju za tri godine od dospjelosti svakoga pojedinog davanja (čl. 226. ZOO-a). </w:t>
      </w:r>
    </w:p>
    <w:p>
      <w:pPr>
        <w:pStyle w:val="Normal"/>
        <w:ind w:firstLine="708"/>
        <w:rPr>
          <w:rFonts w:eastAsia="Times New Roman"/>
          <w:szCs w:val="20"/>
        </w:rPr>
      </w:pPr>
      <w:r>
        <w:rPr>
          <w:rFonts w:eastAsia="Times New Roman"/>
          <w:szCs w:val="20"/>
        </w:rPr>
        <w:t>Uvidom u obračun kamata tužitelja, koji tuženik nije osporio, utvrđeno je da je po računu broj 13 od 31. prosinca 2009. tuženik dio dugovanja u iznosu od 66.331,03 kn podmirio 16. veljače 2010., dok je preostali iznos od 357.980,81 kn podmirio 22. ožujka 2010. Uvidom u račun broj 13 utvrđeno je da je datum dospijeća 30. siječnja 2010. Iz navedenog proizlazi da je tužitelj imao pravo potraživati zatezne kamate na cjelokupni iznos računa od 31. siječnja 2010. Obzirom da je dio iznosa po računu podmiren 16. veljače 2010., obračunate kamate do tog datuma iznose 3.162,00 kn. Taj iznos tužitelj je mogao potraživati od 17. veljače 2010. te je od tada počela teći zastara. Glede preostalog dužnog iznosa po računu od 357.980,81 kn, obračunate su kamate do dana 22. ožujka 2010., kada je tuženik u cijelosti podmirio dug. Zatezne kamate za razdoblje od 16. veljače do 22. ožujka 2010. obračunate su u iznosu od 5.718,92 kn, te je glede tog iznosa zastara počela teći 23. ožujka 2010. Slijedom navedenog, potraživanje kamata u iznosu 3.162,00 kn zastarjelo je 17. veljače 2013., a potraživanje kamata u iznosu 5.718,92 kn zastarjelo je 23. ožujka 2013.</w:t>
      </w:r>
    </w:p>
    <w:p>
      <w:pPr>
        <w:pStyle w:val="Normal"/>
        <w:ind w:firstLine="708"/>
        <w:rPr>
          <w:rFonts w:eastAsia="Times New Roman"/>
          <w:szCs w:val="20"/>
        </w:rPr>
      </w:pPr>
      <w:r>
        <w:rPr>
          <w:rFonts w:eastAsia="Times New Roman"/>
          <w:szCs w:val="20"/>
        </w:rPr>
        <w:t>Uvidom u obračun kamata tužitelja utvrđeno je da je po računu broj 2 od 31. siječnja 2010. tuženik dio dugovanja u iznosu od 142.019,19 kn podmirio 22. ožujka 2010., potom iznos od 80.000,00 kn podmirio je 26. ožujka 2010. te preostali iznos od 206.932,23 kn podmirio 29. travnja 2010. Uvidom u račun broj 2 utvrđeno je da je datum dospijeća 28. veljače 2010. Iz navedenog proizlazi da je tužitelj imao pravo potraživati zatezne kamate na cjelokupni iznos računa od 1. ožujka 2010. Obzirom da je dio iznosa po računu podmiren 22. ožujka 2010., obračunate kamate do tog datuma iznose 4.395,28 kn. Taj iznos tužitelj je mogao potraživati od 23. ožujka 2010. te je od tada počela teći zastara. Glede preostalog dužnog iznosa po računu od 286.932,23 kn, obračunate su kamate do 26. ožujka 2010., u iznosu od 542,75 kn, te je glede tog iznosa zastara počela teći 27. ožujka 2010. Preostali dug po tom računu u iznosu od 206.932,23 kn podmiren je 29. travnja 2010., slijedom čega su obračunate kamate na taj iznos 3.355,10 kn, a zastara je počela teći 30. travnja 2010. Slijedom navedenog, potraživanje kamata u iznosu 4.395,28 kn zastarjelo je 23. veljače 2013., potraživanje kamata u iznosu 542,75 kn zastarjelo je 27. ožujka 2013., a potraživanje u iznosu od 3.355,10 kn zastarjelo je 30. travnja 2013.</w:t>
      </w:r>
    </w:p>
    <w:p>
      <w:pPr>
        <w:pStyle w:val="Normal"/>
        <w:ind w:firstLine="708"/>
        <w:rPr>
          <w:rFonts w:eastAsia="Times New Roman"/>
          <w:szCs w:val="20"/>
        </w:rPr>
      </w:pPr>
      <w:r>
        <w:rPr>
          <w:rFonts w:eastAsia="Times New Roman"/>
          <w:szCs w:val="20"/>
        </w:rPr>
        <w:t>Uvidom u obračun kamata tužitelja utvrđeno je da je po računu broj 4 od 28. veljače 2010. tuženik dugovanje podmirio 29. travnja 2010. Uvidom u račun broj 4 utvrđeno je da je datum dospijeća 30. ožujka 2010. Iz navedenog proizlazi da je tužitelj imao pravo potraživati zatezne kamate od 31. ožujka 2010. Obzirom da je iznos po računu podmiren 29. travnja 2010., obračunate kamate iznose 6.694,05 kn. Taj iznos tužitelj je mogao potraživati od 30. travnja 2010. te je od tada počela teći zastara. Slijedom navedenog, potraživanje kamata u iznosu 6.694,05 kn zastarjelo je 30. travnja 2013.</w:t>
      </w:r>
    </w:p>
    <w:p>
      <w:pPr>
        <w:pStyle w:val="Normal"/>
        <w:ind w:firstLine="708"/>
        <w:rPr>
          <w:rFonts w:eastAsia="Times New Roman"/>
          <w:szCs w:val="20"/>
        </w:rPr>
      </w:pPr>
      <w:r>
        <w:rPr>
          <w:rFonts w:eastAsia="Times New Roman"/>
          <w:szCs w:val="20"/>
        </w:rPr>
        <w:t xml:space="preserve">Uzimajući u obzir da je tužitelj podnio prijedlog za ovrhu 18. lipnja 2013., dakle nakon što je proteklo vrijeme određeno zakonom u kojem je tužitelj mogao zahtijevati ispunjenje obveze, to je nastupila zastara tužiteljeva potraživanja i time je prestalo njegovo pravo zahtijevati ispunjenje obveze (čl. 214. ZOO-a). Stoga je sud u tom dijelu ukinuo platni nalog i odbio tužbeni zahtjev. </w:t>
      </w:r>
    </w:p>
    <w:p>
      <w:pPr>
        <w:pStyle w:val="Normal"/>
        <w:ind w:firstLine="708"/>
        <w:rPr>
          <w:rFonts w:eastAsia="Times New Roman"/>
          <w:szCs w:val="20"/>
        </w:rPr>
      </w:pPr>
      <w:r>
        <w:rPr>
          <w:rFonts w:eastAsia="Times New Roman"/>
          <w:szCs w:val="20"/>
        </w:rPr>
        <w:t xml:space="preserve">Glede prigovora tuženika da su datumi dospijeća u računima broj 1 od 31. siječnja 2011., broj 1 od 31. siječnja 2012. te broj 11 od 30. lipnja 2012. pogrešno naznačeni, što je utjecalo na obračun kamata, sud je isti ocijenio osnovanim. Uvidom u račun broj 1 od 31. siječnja 2011. utvrđeno je da je dospijeće 2. ožujka 2011., dok iz obračuna kamata proizlazi da je dospijeće 28. veljače 2011. Nadalje, sud je uvidom u račun broj 1 od 31. siječnja 2012. i obračun kamata, također utvrdio kako je na računu naveden datum dospijeća od 29. veljače 2012., dok je u obračunu kamata naveden datum dospijeća od 28. veljače 2012., slijedom čega je tužitelj neosnovano potraživao zatezne kamate od 28. veljače 2012. Uvidom u račun broj 11 od 30. lipnja 2012. utvrđeno je da je datum dospijeća 29. kolovoza 2012., dok je u obračunu kamata kao datum dospijeća naveden 31. srpanj 2012. </w:t>
      </w:r>
      <w:r>
        <w:rPr/>
        <w:t>Dužnost je stranaka u parnici iznijeti činjenice na kojima temelje svoje zahtjeve i predložiti dokaze kojima se te činjenice mogu utvrditi (čl. 219. Zakona o parničnom postupku, „</w:t>
      </w:r>
      <w:r>
        <w:rPr>
          <w:rFonts w:eastAsia="Times New Roman"/>
          <w:szCs w:val="24"/>
          <w:lang w:eastAsia="hr-HR"/>
        </w:rPr>
        <w:t>Narodne novine“ broj 53/91, 91/92, 112/99, 88/01, 117/03, 88/05, 02/07-Odluka USRH, 84/08, 96/08-Odluka USRH, 123/08, 57/11, 148/11-pročišćeni tekst, 25/13, 89/14-Odluka USRH, nadalje ZPP</w:t>
      </w:r>
      <w:r>
        <w:rPr/>
        <w:t xml:space="preserve">). Njihova je dužnost također iznijeti sudu činjenice i predložiti dokazna sredstva prikladna za stjecanje uvjerenja suda u istinitost tvrdnji od kojih ovisi osnovanost zahtjeva stranke. Ako stranka u tome ne uspije, sud će izvesti zaključak o nedokazanosti, odnosno neistinosti njezine tvrdnje. Predlaganjem dokaza stranka ostvaruje povoljnije uvjete za svoj uspjeh u parnici. Slijedi da je pravilo da je svaka stranka dužna dokazati istinitost svojih tvrdnji, a ako u tome ne uspije, njezin zahtjev za pružanje pravne zaštite treba odbiti. Kako tužitelj nije dokazao niti predlagao izvođenje dokaza u cilju dokazivanja osnovanosti svog zahtjeva, a sud ne raspolaže potrebnim stručnim znanjem </w:t>
      </w:r>
      <w:r>
        <w:rPr>
          <w:rFonts w:eastAsia="Times New Roman"/>
          <w:szCs w:val="24"/>
          <w:lang w:eastAsia="hr-HR"/>
        </w:rPr>
        <w:t>za utvrđenjem osporenih činjenica,</w:t>
      </w:r>
      <w:r>
        <w:rPr/>
        <w:t xml:space="preserve"> to je zahtjev tužitelja odbijen u osporenom dijelu.</w:t>
      </w:r>
    </w:p>
    <w:p>
      <w:pPr>
        <w:pStyle w:val="Normal"/>
        <w:ind w:firstLine="708"/>
        <w:rPr>
          <w:rFonts w:eastAsia="Times New Roman"/>
          <w:szCs w:val="20"/>
        </w:rPr>
      </w:pPr>
      <w:r>
        <w:rPr>
          <w:rFonts w:eastAsia="Times New Roman"/>
          <w:szCs w:val="20"/>
        </w:rPr>
        <w:t xml:space="preserve">Glede preostalog zahtjeva tužitelja, a uzimajući u obzir da tuženik nije osporio obračun kamata niti iznose po utuženim računima, sud je uvidom u dokumentaciju u spisu utvrdio kako je zahtjev tužitelja osnovan. </w:t>
      </w:r>
    </w:p>
    <w:p>
      <w:pPr>
        <w:pStyle w:val="Normal"/>
        <w:ind w:firstLine="708"/>
        <w:rPr>
          <w:rFonts w:eastAsia="Times New Roman"/>
          <w:szCs w:val="20"/>
        </w:rPr>
      </w:pPr>
      <w:r>
        <w:rPr>
          <w:rFonts w:eastAsia="Times New Roman"/>
          <w:szCs w:val="20"/>
        </w:rPr>
        <w:t xml:space="preserve">U pogledu zahtjeva tužitelja za isplatom zateznih kamata koje je tužitelj potraživao na obračunate kamate, sud je primjenom odredbe čl. 31. st. 2. ZOO-a, ocijenio isti neosnovan. </w:t>
      </w:r>
    </w:p>
    <w:p>
      <w:pPr>
        <w:pStyle w:val="Normal"/>
        <w:ind w:firstLine="708"/>
        <w:rPr/>
      </w:pPr>
      <w:r>
        <w:rPr/>
        <w:t>Sukladno čl. 31. st. 2. ZOO-a na iznos neisplaćenih kamata mogu se zahtijevati zatezne kamate samo od dana kad je sudu podnesen zahtjev za njihovu isplatu. Slijedom navedenog, tužitelj može osnovano potraživati zatezne kamate od podnošenja prijedloga za ovrhu, odnosno od 18. lipnja 2013. Visina stope određuje se sukladno odredbi čl. 29. st. 2. ZOO-a, odnosno po stopi koja se određuje uvećanjem eskontne stope Hrvatske narodne banke koja je vrijedila zadnjeg polugodišta koje je prethodilo tekućem polugodištu za osam postotnih poena, a od 1. kolovoza 2015., prema čl. 3. Zakona o izmjenama i dopunama Zakona o obveznim odnosima (Narodne novine br. 78/15),</w:t>
      </w:r>
      <w:r>
        <w:rPr>
          <w:rFonts w:eastAsia="Times New Roman"/>
          <w:szCs w:val="24"/>
          <w:lang w:eastAsia="hr-HR"/>
        </w:rPr>
        <w:t xml:space="preserve"> po stopi koja se određuje za svako polugodište </w:t>
      </w:r>
      <w:r>
        <w:rPr/>
        <w:t>uvećanjem prosječne kamatne stope na stanja kredita odobrenih na razdoblje dulje od godine dana nefinancijskim trgovačkim društvima izračunate za referentno razdoblje koje prethodi tekućem polugodištu za pet postotnih poena, i to jer se radi o odnosu iz trgovačkog ugovora.</w:t>
      </w:r>
    </w:p>
    <w:p>
      <w:pPr>
        <w:pStyle w:val="Normal"/>
        <w:ind w:firstLine="708"/>
        <w:rPr>
          <w:rFonts w:eastAsia="Times New Roman"/>
          <w:szCs w:val="24"/>
          <w:lang w:eastAsia="hr-HR"/>
        </w:rPr>
      </w:pPr>
      <w:r>
        <w:rPr>
          <w:rFonts w:eastAsia="Times New Roman"/>
          <w:szCs w:val="24"/>
          <w:lang w:eastAsia="hr-HR"/>
        </w:rPr>
        <w:t xml:space="preserve">Budući da je predmetni parnični postupak nastavljen i vođen nakon prigovora ovršenika protiv rješenja o ovrsi na temelju vjerodostojne isprave, a sud je nakon izvedenih dokaza tužbeni zahtjev tužitelja ocijenio osnovanim u pretežitom dijelu, to je sukladno odredbi čl. 451. st. 3. ZPP-a, </w:t>
      </w:r>
      <w:r>
        <w:rPr>
          <w:szCs w:val="24"/>
        </w:rPr>
        <w:t xml:space="preserve">platni nalog održan na snazi i u dijelu u kojem se </w:t>
      </w:r>
      <w:r>
        <w:rPr>
          <w:rFonts w:eastAsia="Times New Roman"/>
          <w:szCs w:val="24"/>
          <w:lang w:eastAsia="hr-HR"/>
        </w:rPr>
        <w:t xml:space="preserve">tuženiku nalaže naknaditi tužitelju trošak ovršnog postupka. Sud je priznao trošak u iznosu od 5.742,00 kn koji se odnosi na trošak sastava prijedloga za ovrhu u iznosu 2.500,00 kn uvećano za PDV po stopi 25 % (625,00 kuna) i trošak nagrade javnom bilježniku u iznosu 2.617,00 kn, sve budući da je taj trošak u cijelosti opravdan i pravilno obračunat sukladno Tarifi </w:t>
      </w:r>
      <w:r>
        <w:rPr/>
        <w:t xml:space="preserve">o nagradama i naknadi troškova za rad odvjetnika </w:t>
      </w:r>
      <w:r>
        <w:rPr>
          <w:rFonts w:eastAsia="Times New Roman"/>
          <w:szCs w:val="24"/>
          <w:lang w:eastAsia="hr-HR"/>
        </w:rPr>
        <w:t xml:space="preserve">(„Narodne novine“ broj 142/12, 103/14, 118/14, nadalje Tarifa) te Pravilniku o nagradama i naknadi troškova javnih bilježnika u ovršnom postupku („Narodne novine“ broj 8/11, 114/12). Nije priznat trošak poštarine u iznosu 37,50 kn, jer nije dokazan ni po osnovi ni po visini, jednako kao ni troškovi vezani uz potvrdu pravomoćnosti (312,50 kn), javnobilježničku naknadu za izdavanje potvrde ovršnosti (37,50 kn), te sastav prijedloga za dostavu rješenja o ovrsi Financijskoj agenciji (312,50 kn), budući da, kada se ima u vidu da je protiv rješenja o ovrsi podnijet prigovor, odnosno da ono nije steklo svojstvo pravomoćnosti i ovršnosti, ti troškovi nisu ni nastali u ovom postupku. </w:t>
      </w:r>
    </w:p>
    <w:p>
      <w:pPr>
        <w:pStyle w:val="Normal"/>
        <w:ind w:firstLine="708"/>
        <w:rPr/>
      </w:pPr>
      <w:r>
        <w:rPr>
          <w:lang w:eastAsia="hr-HR"/>
        </w:rPr>
        <w:t>U odnosu na tužbeni zahtjev tužitelja iz rješenja o ovrsi posl. br.: Ovrv-150/13 od 17. srpnja 2013., tužitelj je uspio sa 79 % (</w:t>
      </w:r>
      <w:r>
        <w:rPr/>
        <w:t>137.416,59 kn</w:t>
      </w:r>
      <w:r>
        <w:rPr>
          <w:lang w:eastAsia="hr-HR"/>
        </w:rPr>
        <w:t xml:space="preserve">). Kako je na temelju gore navedenih odredbi osnovan i njegov zahtjev za naknadu nastalih troškova ovršnog postupka u iznosu od </w:t>
      </w:r>
      <w:r>
        <w:rPr>
          <w:rFonts w:eastAsia="Times New Roman"/>
          <w:szCs w:val="24"/>
          <w:lang w:eastAsia="hr-HR"/>
        </w:rPr>
        <w:t>5.742,00 kn</w:t>
      </w:r>
      <w:r>
        <w:rPr>
          <w:lang w:eastAsia="hr-HR"/>
        </w:rPr>
        <w:t xml:space="preserve">, a uzimajući u obzir djelomičan uspjeh u sporu tužitelja, </w:t>
      </w:r>
      <w:r>
        <w:rPr/>
        <w:t>na osnovi čl. 154. st. 2. ZPP-a, pripada mu pravo na naknadu ovršnih troškova prema postignutom uspjehu (79 %), što iznosi 4.536,18 kn.</w:t>
      </w:r>
    </w:p>
    <w:p>
      <w:pPr>
        <w:pStyle w:val="Normal"/>
        <w:ind w:firstLine="708"/>
        <w:rPr>
          <w:rFonts w:eastAsia="Times New Roman"/>
          <w:szCs w:val="24"/>
        </w:rPr>
      </w:pPr>
      <w:r>
        <w:rPr/>
        <w:t xml:space="preserve">Slijedom navedenog, </w:t>
      </w:r>
      <w:r>
        <w:rPr>
          <w:rFonts w:eastAsia="Times New Roman"/>
          <w:szCs w:val="24"/>
        </w:rPr>
        <w:t>na temelju čl. 451. st. 3.</w:t>
      </w:r>
      <w:r>
        <w:rPr>
          <w:rFonts w:eastAsia="Times New Roman"/>
          <w:szCs w:val="24"/>
          <w:lang w:eastAsia="hr-HR"/>
        </w:rPr>
        <w:t xml:space="preserve"> ZPP-a, djelomično je </w:t>
      </w:r>
      <w:r>
        <w:rPr>
          <w:rFonts w:eastAsia="Times New Roman"/>
          <w:szCs w:val="24"/>
        </w:rPr>
        <w:t>održan na snazi platni nalog sadržan u rješenju o ovrsi kao u t. I. izreke presude te djelomično ukinut kao u t. II. izreke presude.</w:t>
      </w:r>
    </w:p>
    <w:p>
      <w:pPr>
        <w:pStyle w:val="Normal"/>
        <w:ind w:firstLine="708"/>
        <w:rPr>
          <w:rFonts w:eastAsia="Times New Roman"/>
          <w:szCs w:val="24"/>
          <w:lang w:eastAsia="hr-HR"/>
        </w:rPr>
      </w:pPr>
      <w:r>
        <w:rPr>
          <w:rFonts w:eastAsia="Times New Roman"/>
          <w:szCs w:val="24"/>
          <w:lang w:eastAsia="hr-HR"/>
        </w:rPr>
        <w:t>Prema čl. 154. st. 2. ZPP-a, ako stranka djelomično uspije u parnici, sud može, s obzirom na postignuti uspjeh, odrediti da svaka stranka snosi svoje troškove ili da jedna stranka nadoknadi drugoj i umješaču razmjeran dio troškova.</w:t>
      </w:r>
    </w:p>
    <w:p>
      <w:pPr>
        <w:pStyle w:val="Normal"/>
        <w:ind w:firstLine="708"/>
        <w:rPr/>
      </w:pPr>
      <w:r>
        <w:rPr>
          <w:rFonts w:eastAsia="Times New Roman"/>
          <w:szCs w:val="24"/>
          <w:lang w:eastAsia="hr-HR"/>
        </w:rPr>
        <w:t xml:space="preserve">Tužitelju pripada zatraženi trošak parničnog postupka u iznosu </w:t>
      </w:r>
      <w:r>
        <w:rPr/>
        <w:t xml:space="preserve">od 5.219,00 kn koji uključuje </w:t>
      </w:r>
      <w:r>
        <w:rPr>
          <w:rFonts w:eastAsia="Times New Roman"/>
          <w:szCs w:val="24"/>
          <w:lang w:eastAsia="hr-HR"/>
        </w:rPr>
        <w:t xml:space="preserve">trošak zastupanja na ročištu održanom 11. prosinca 2015. u iznosu od 2.500,00 kn (Tbr. 8. t. 1. Tarife), uvećan za PDV po stopi 25 %, te trošak sudske pristojbe na presudu u iznosu 2.094,00 kn (Tar. br. 2. Tarife sudskih pristojbi sadržane u Zakonu o sudskim pristojbama, „Narodne novine“ broj: </w:t>
      </w:r>
      <w:r>
        <w:rPr>
          <w:bCs/>
        </w:rPr>
        <w:t>74/95, 57/96, 137/02, 26/03, 125/11, 112/12, 157/13, 110/15)</w:t>
      </w:r>
      <w:r>
        <w:rPr>
          <w:rFonts w:eastAsia="Times New Roman"/>
          <w:szCs w:val="24"/>
          <w:lang w:eastAsia="hr-HR"/>
        </w:rPr>
        <w:t>.</w:t>
      </w:r>
      <w:r>
        <w:rPr/>
        <w:t xml:space="preserve"> O trošku odmjerenom rješenjem o ovrsi, odnosno o trošku sastava prijedloga za ovrhu i trošku javnobilježničke nagrade, sud je odlučivao u okviru osnovanosti platnog naloga.</w:t>
      </w:r>
    </w:p>
    <w:p>
      <w:pPr>
        <w:pStyle w:val="Normal"/>
        <w:ind w:firstLine="708"/>
        <w:rPr/>
      </w:pPr>
      <w:r>
        <w:rPr/>
        <w:t xml:space="preserve">Tužitelj je u sporu uspio sa 79 % pa mu pripada pravo na naknadu troškova u iznosu od 4.123,01 kn. </w:t>
      </w:r>
      <w:r>
        <w:rPr>
          <w:rFonts w:eastAsia="Times New Roman"/>
          <w:lang w:eastAsia="hr-HR"/>
        </w:rPr>
        <w:t xml:space="preserve">Slijedom toga, </w:t>
      </w:r>
      <w:r>
        <w:rPr>
          <w:rFonts w:eastAsia="Times New Roman"/>
          <w:szCs w:val="24"/>
          <w:lang w:eastAsia="hr-HR"/>
        </w:rPr>
        <w:t>tuženiku je naloženo nadoknaditi tužitelju prouzročeni trošak parničnog postupka u iznosu 4.123,01 kn, dok je u preostalom dijelu zahtjev tužitelja odbijen.</w:t>
      </w:r>
    </w:p>
    <w:p>
      <w:pPr>
        <w:pStyle w:val="Normal"/>
        <w:rPr/>
      </w:pPr>
      <w:r>
        <w:rPr/>
      </w:r>
    </w:p>
    <w:p>
      <w:pPr>
        <w:pStyle w:val="Normal"/>
        <w:jc w:val="center"/>
        <w:rPr>
          <w:rFonts w:eastAsia="Times New Roman"/>
          <w:szCs w:val="24"/>
          <w:lang w:eastAsia="hr-HR"/>
        </w:rPr>
      </w:pPr>
      <w:r>
        <w:rPr>
          <w:rFonts w:eastAsia="Times New Roman"/>
          <w:szCs w:val="24"/>
          <w:lang w:eastAsia="hr-HR"/>
        </w:rPr>
        <w:t>U Pazinu 25. siječnja 2016.</w:t>
      </w:r>
    </w:p>
    <w:p>
      <w:pPr>
        <w:pStyle w:val="Normal"/>
        <w:jc w:val="center"/>
        <w:rPr>
          <w:rFonts w:eastAsia="Times New Roman"/>
          <w:szCs w:val="24"/>
          <w:lang w:eastAsia="hr-HR"/>
        </w:rPr>
      </w:pPr>
      <w:r>
        <w:rPr>
          <w:rFonts w:eastAsia="Times New Roman"/>
          <w:szCs w:val="24"/>
          <w:lang w:eastAsia="hr-HR"/>
        </w:rPr>
      </w:r>
    </w:p>
    <w:p>
      <w:pPr>
        <w:pStyle w:val="Normal"/>
        <w:ind w:left="4956" w:firstLine="708"/>
        <w:jc w:val="center"/>
        <w:rPr>
          <w:rFonts w:eastAsia="Times New Roman"/>
          <w:szCs w:val="24"/>
          <w:lang w:eastAsia="hr-HR"/>
        </w:rPr>
      </w:pPr>
      <w:r>
        <w:rPr>
          <w:rFonts w:eastAsia="Times New Roman"/>
          <w:szCs w:val="24"/>
          <w:lang w:eastAsia="hr-HR"/>
        </w:rPr>
        <w:t>Sutkinja</w:t>
      </w:r>
    </w:p>
    <w:p>
      <w:pPr>
        <w:pStyle w:val="Normal"/>
        <w:ind w:left="4956" w:firstLine="708"/>
        <w:jc w:val="center"/>
        <w:rPr>
          <w:rFonts w:eastAsia="Times New Roman"/>
          <w:szCs w:val="24"/>
          <w:lang w:eastAsia="hr-HR"/>
        </w:rPr>
      </w:pPr>
      <w:r>
        <w:rPr>
          <w:rFonts w:eastAsia="Times New Roman"/>
          <w:szCs w:val="24"/>
          <w:lang w:eastAsia="hr-HR"/>
        </w:rPr>
        <w:t>Adrijana Labinjan Skok, v.r.</w:t>
      </w:r>
    </w:p>
    <w:p>
      <w:pPr>
        <w:pStyle w:val="Normal"/>
        <w:rPr>
          <w:rFonts w:eastAsia="Times New Roman"/>
          <w:szCs w:val="24"/>
          <w:lang w:eastAsia="hr-HR"/>
        </w:rPr>
      </w:pPr>
      <w:r>
        <w:rPr>
          <w:rFonts w:eastAsia="Times New Roman"/>
          <w:szCs w:val="24"/>
          <w:lang w:eastAsia="hr-HR"/>
        </w:rPr>
      </w:r>
    </w:p>
    <w:p>
      <w:pPr>
        <w:pStyle w:val="Normal"/>
        <w:rPr>
          <w:rFonts w:eastAsia="Times New Roman"/>
          <w:szCs w:val="24"/>
          <w:lang w:eastAsia="hr-HR"/>
        </w:rPr>
      </w:pPr>
      <w:r>
        <w:rPr>
          <w:rFonts w:eastAsia="Times New Roman"/>
          <w:szCs w:val="24"/>
          <w:lang w:eastAsia="hr-HR"/>
        </w:rPr>
      </w:r>
    </w:p>
    <w:p>
      <w:pPr>
        <w:pStyle w:val="Normal"/>
        <w:rPr>
          <w:rFonts w:eastAsia="Times New Roman"/>
          <w:szCs w:val="24"/>
          <w:lang w:eastAsia="hr-HR"/>
        </w:rPr>
      </w:pPr>
      <w:r>
        <w:rPr>
          <w:rFonts w:eastAsia="Times New Roman"/>
          <w:szCs w:val="24"/>
          <w:lang w:eastAsia="hr-HR"/>
        </w:rPr>
      </w:r>
    </w:p>
    <w:p>
      <w:pPr>
        <w:pStyle w:val="Normal"/>
        <w:rPr>
          <w:rFonts w:eastAsia="Times New Roman"/>
          <w:szCs w:val="24"/>
          <w:lang w:eastAsia="hr-HR"/>
        </w:rPr>
      </w:pPr>
      <w:r>
        <w:rPr>
          <w:rFonts w:eastAsia="Times New Roman"/>
          <w:szCs w:val="24"/>
          <w:lang w:eastAsia="hr-HR"/>
        </w:rPr>
      </w:r>
    </w:p>
    <w:p>
      <w:pPr>
        <w:pStyle w:val="Normal"/>
        <w:rPr>
          <w:rFonts w:eastAsia="Times New Roman"/>
          <w:szCs w:val="24"/>
          <w:lang w:eastAsia="hr-HR"/>
        </w:rPr>
      </w:pPr>
      <w:r>
        <w:rPr>
          <w:rFonts w:eastAsia="Times New Roman"/>
          <w:szCs w:val="24"/>
          <w:lang w:eastAsia="hr-HR"/>
        </w:rPr>
        <w:t>UPUTA O PRAVNOM LIJEKU</w:t>
      </w:r>
    </w:p>
    <w:p>
      <w:pPr>
        <w:pStyle w:val="Normal"/>
        <w:ind w:firstLine="708"/>
        <w:rPr>
          <w:rFonts w:eastAsia="Times New Roman"/>
          <w:szCs w:val="24"/>
          <w:lang w:eastAsia="hr-HR"/>
        </w:rPr>
      </w:pPr>
      <w:r>
        <w:rPr>
          <w:szCs w:val="24"/>
        </w:rPr>
        <w:t>Protiv ove presude dopuštena je žalba Visokom trgovačkom sudu Republike Hrvatske. Žalba se podnosi putem ovog suda u tri pisana primjerka u roku od osam dana računajući od održavanja ročišta za objavu presude, ako je stranka bila uredno obaviještena o održavanju ročišta za objavu, odnosno od primitka prijepisa presude, ako stranka nije bila uredno obaviještena o ročištu za objavu presude.</w:t>
      </w:r>
    </w:p>
    <w:p>
      <w:pPr>
        <w:pStyle w:val="Normal"/>
        <w:rPr>
          <w:rFonts w:eastAsia="Times New Roman"/>
          <w:szCs w:val="24"/>
          <w:lang w:eastAsia="hr-HR"/>
        </w:rPr>
      </w:pPr>
      <w:r>
        <w:rPr>
          <w:rFonts w:eastAsia="Times New Roman"/>
          <w:szCs w:val="24"/>
          <w:lang w:eastAsia="hr-HR"/>
        </w:rPr>
      </w:r>
    </w:p>
    <w:p>
      <w:pPr>
        <w:pStyle w:val="Normal"/>
        <w:rPr>
          <w:rFonts w:eastAsia="Times New Roman"/>
          <w:szCs w:val="24"/>
          <w:lang w:eastAsia="hr-HR"/>
        </w:rPr>
      </w:pPr>
      <w:r>
        <w:rPr>
          <w:rFonts w:eastAsia="Times New Roman"/>
          <w:szCs w:val="24"/>
          <w:lang w:eastAsia="hr-HR"/>
        </w:rPr>
      </w:r>
    </w:p>
    <w:p>
      <w:pPr>
        <w:pStyle w:val="Normal"/>
        <w:rPr>
          <w:rFonts w:eastAsia="Times New Roman"/>
          <w:szCs w:val="24"/>
          <w:lang w:eastAsia="hr-HR"/>
        </w:rPr>
      </w:pPr>
      <w:r>
        <w:rPr>
          <w:rFonts w:eastAsia="Times New Roman"/>
          <w:szCs w:val="24"/>
          <w:lang w:eastAsia="hr-HR"/>
        </w:rPr>
        <w:t>DNA:</w:t>
      </w:r>
    </w:p>
    <w:p>
      <w:pPr>
        <w:pStyle w:val="Normal"/>
        <w:rPr>
          <w:rFonts w:eastAsia="Times New Roman"/>
          <w:szCs w:val="24"/>
          <w:lang w:eastAsia="hr-HR"/>
        </w:rPr>
      </w:pPr>
      <w:r>
        <w:rPr>
          <w:rFonts w:eastAsia="Times New Roman"/>
          <w:szCs w:val="24"/>
          <w:lang w:eastAsia="hr-HR"/>
        </w:rPr>
        <w:t>1. tužitelj po pun., uz rješenje o pristojbi za presudu u iznosu 2.094,00 kuna,</w:t>
      </w:r>
    </w:p>
    <w:p>
      <w:pPr>
        <w:pStyle w:val="Normal"/>
        <w:rPr/>
      </w:pPr>
      <w:r>
        <w:rPr>
          <w:rFonts w:eastAsia="Times New Roman"/>
          <w:szCs w:val="24"/>
          <w:lang w:eastAsia="hr-HR"/>
        </w:rPr>
        <w:t>2. tuženik.</w:t>
      </w:r>
    </w:p>
    <w:sectPr>
      <w:headerReference w:type="default" r:id="rId3"/>
      <w:headerReference w:type="first" r:id="rId4"/>
      <w:type w:val="nextPage"/>
      <w:pgSz w:w="11906" w:h="16838"/>
      <w:pgMar w:left="1417" w:right="1417" w:header="708" w:top="1417" w:footer="0" w:bottom="1417" w:gutter="0"/>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Times New Roman">
    <w:charset w:val="ee"/>
    <w:family w:val="roman"/>
    <w:pitch w:val="variable"/>
  </w:font>
  <w:font w:name="Tahoma">
    <w:charset w:val="ee"/>
    <w:family w:val="roman"/>
    <w:pitch w:val="variable"/>
  </w:font>
  <w:font w:name="Liberation Sans">
    <w:altName w:val="Arial"/>
    <w:charset w:val="ee"/>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jc w:val="right"/>
      <w:rPr/>
    </w:pPr>
    <w:r>
      <mc:AlternateContent>
        <mc:Choice Requires="wps">
          <w:drawing>
            <wp:anchor behindDoc="1" distT="0" distB="0" distL="0" distR="0" simplePos="0" locked="0" layoutInCell="1" allowOverlap="1" relativeHeight="8">
              <wp:simplePos x="0" y="0"/>
              <wp:positionH relativeFrom="margin">
                <wp:align>center</wp:align>
              </wp:positionH>
              <wp:positionV relativeFrom="paragraph">
                <wp:posOffset>635</wp:posOffset>
              </wp:positionV>
              <wp:extent cx="77470" cy="174625"/>
              <wp:effectExtent l="0" t="0" r="0" b="0"/>
              <wp:wrapSquare wrapText="largest"/>
              <wp:docPr id="2" name="Frame1"/>
              <a:graphic xmlns:a="http://schemas.openxmlformats.org/drawingml/2006/main">
                <a:graphicData uri="http://schemas.microsoft.com/office/word/2010/wordprocessingShape">
                  <wps:wsp>
                    <wps:cNvSpPr/>
                    <wps:spPr>
                      <a:xfrm>
                        <a:off x="0" y="0"/>
                        <a:ext cx="76680" cy="173880"/>
                      </a:xfrm>
                      <a:prstGeom prst="rect">
                        <a:avLst/>
                      </a:prstGeom>
                      <a:noFill/>
                      <a:ln>
                        <a:noFill/>
                      </a:ln>
                    </wps:spPr>
                    <wps:style>
                      <a:lnRef idx="0"/>
                      <a:fillRef idx="0"/>
                      <a:effectRef idx="0"/>
                      <a:fontRef idx="minor"/>
                    </wps:style>
                    <wps:txbx>
                      <w:txbxContent>
                        <w:p>
                          <w:pPr>
                            <w:pStyle w:val="Header"/>
                            <w:rPr/>
                          </w:pPr>
                          <w:r>
                            <w:rPr>
                              <w:rStyle w:val="Pagenumber"/>
                              <w:color w:val="auto"/>
                            </w:rPr>
                            <w:fldChar w:fldCharType="begin"/>
                          </w:r>
                          <w:r>
                            <w:rPr>
                              <w:rStyle w:val="Pagenumber"/>
                            </w:rPr>
                            <w:instrText> PAGE </w:instrText>
                          </w:r>
                          <w:r>
                            <w:rPr>
                              <w:rStyle w:val="Pagenumber"/>
                            </w:rPr>
                            <w:fldChar w:fldCharType="separate"/>
                          </w:r>
                          <w:r>
                            <w:rPr>
                              <w:rStyle w:val="Pagenumber"/>
                            </w:rPr>
                            <w:t>7</w:t>
                          </w:r>
                          <w:r>
                            <w:rPr>
                              <w:rStyle w:val="Pagenumber"/>
                            </w:rPr>
                            <w:fldChar w:fldCharType="end"/>
                          </w:r>
                        </w:p>
                      </w:txbxContent>
                    </wps:txbx>
                    <wps:bodyPr lIns="0" rIns="0" tIns="0" bIns="0">
                      <a:spAutoFit/>
                    </wps:bodyPr>
                  </wps:wsp>
                </a:graphicData>
              </a:graphic>
            </wp:anchor>
          </w:drawing>
        </mc:Choice>
        <mc:Fallback>
          <w:pict>
            <v:rect id="shape_0" ID="Frame1" fillcolor="white" stroked="f" style="position:absolute;margin-left:223.75pt;margin-top:0.05pt;width:6pt;height:13.65pt;mso-position-horizontal:center;mso-position-horizontal-relative:margin">
              <w10:wrap type="square"/>
              <v:fill o:detectmouseclick="t" type="solid" color2="black" opacity="0"/>
              <v:stroke color="#3465a4" joinstyle="round" endcap="flat"/>
              <v:textbox>
                <w:txbxContent>
                  <w:p>
                    <w:pPr>
                      <w:pStyle w:val="Header"/>
                      <w:rPr/>
                    </w:pPr>
                    <w:r>
                      <w:rPr>
                        <w:rStyle w:val="Pagenumber"/>
                        <w:color w:val="auto"/>
                      </w:rPr>
                      <w:fldChar w:fldCharType="begin"/>
                    </w:r>
                    <w:r>
                      <w:rPr>
                        <w:rStyle w:val="Pagenumber"/>
                      </w:rPr>
                      <w:instrText> PAGE </w:instrText>
                    </w:r>
                    <w:r>
                      <w:rPr>
                        <w:rStyle w:val="Pagenumber"/>
                      </w:rPr>
                      <w:fldChar w:fldCharType="separate"/>
                    </w:r>
                    <w:r>
                      <w:rPr>
                        <w:rStyle w:val="Pagenumber"/>
                      </w:rPr>
                      <w:t>7</w:t>
                    </w:r>
                    <w:r>
                      <w:rPr>
                        <w:rStyle w:val="Pagenumber"/>
                      </w:rPr>
                      <w:fldChar w:fldCharType="end"/>
                    </w:r>
                  </w:p>
                </w:txbxContent>
              </v:textbox>
            </v:rect>
          </w:pict>
        </mc:Fallback>
      </mc:AlternateContent>
    </w:r>
    <w:r>
      <w:rPr/>
      <w:t>3 P-1097/2015-11</w:t>
    </w:r>
  </w:p>
  <w:p>
    <w:pPr>
      <w:pStyle w:val="Header"/>
      <w:jc w:val="right"/>
      <w:rPr/>
    </w:pPr>
    <w:r>
      <w:rPr/>
      <w:t>(ranije P-2093/2014)</w:t>
    </w:r>
  </w:p>
  <w:p>
    <w:pPr>
      <w:pStyle w:val="Header"/>
      <w:jc w:val="right"/>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jc w:val="right"/>
      <w:rPr/>
    </w:pPr>
    <w:r>
      <w:rPr/>
      <w:t>3P-1097/2015-11</w:t>
    </w:r>
  </w:p>
  <w:p>
    <w:pPr>
      <w:pStyle w:val="Header"/>
      <w:jc w:val="right"/>
      <w:rPr/>
    </w:pPr>
    <w:r>
      <w:rPr/>
      <w:t>(ranije P-2093/2014)</w:t>
    </w:r>
  </w:p>
</w:hdr>
</file>

<file path=word/settings.xml><?xml version="1.0" encoding="utf-8"?>
<w:settings xmlns:w="http://schemas.openxmlformats.org/wordprocessingml/2006/main">
  <w:zoom w:percent="150"/>
  <w:defaultTabStop w:val="708"/>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umentProtection w:edit="readOnly" w:cryptProviderType="rsaAES" w:cryptAlgorithmClass="hash" w:cryptAlgorithmType="typeAny" w:cryptAlgorithmSid="" w:cryptSpinCount="0" w:hash="" w:salt=""/>
  <w:themeFontLang w:val="hr-H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imes New Roman"/>
        <w:lang w:val="hr-HR" w:eastAsia="hr-HR" w:bidi="ar-SA"/>
      </w:rPr>
    </w:rPrDefault>
    <w:pPrDefault>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page number" w:uiPriority="0"/>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1">
    <w:name w:val="Normal"/>
    <w:qFormat/>
    <w:rsid w:val="00e422f3"/>
    <w:pPr>
      <w:widowControl/>
      <w:bidi w:val="0"/>
      <w:jc w:val="both"/>
    </w:pPr>
    <w:rPr>
      <w:rFonts w:ascii="Times New Roman" w:hAnsi="Times New Roman" w:eastAsia="Calibri" w:cs="Times New Roman"/>
      <w:color w:val="auto"/>
      <w:kern w:val="0"/>
      <w:sz w:val="24"/>
      <w:szCs w:val="22"/>
      <w:lang w:val="hr-HR" w:eastAsia="en-US" w:bidi="ar-SA"/>
    </w:rPr>
  </w:style>
  <w:style w:type="character" w:styleId="DefaultParagraphFont" w:default="1">
    <w:name w:val="Default Paragraph Font"/>
    <w:uiPriority w:val="1"/>
    <w:semiHidden/>
    <w:unhideWhenUsed/>
    <w:qFormat/>
    <w:rPr/>
  </w:style>
  <w:style w:type="character" w:styleId="ZaglavljeChar" w:customStyle="1">
    <w:name w:val="Zaglavlje Char"/>
    <w:basedOn w:val="DefaultParagraphFont"/>
    <w:link w:val="Zaglavlje"/>
    <w:uiPriority w:val="99"/>
    <w:qFormat/>
    <w:rsid w:val="00e422f3"/>
    <w:rPr>
      <w:rFonts w:ascii="Times New Roman" w:hAnsi="Times New Roman"/>
      <w:sz w:val="24"/>
    </w:rPr>
  </w:style>
  <w:style w:type="character" w:styleId="Pagenumber">
    <w:name w:val="page number"/>
    <w:basedOn w:val="DefaultParagraphFont"/>
    <w:qFormat/>
    <w:rsid w:val="00e422f3"/>
    <w:rPr/>
  </w:style>
  <w:style w:type="character" w:styleId="TekstbaloniaChar" w:customStyle="1">
    <w:name w:val="Tekst balončića Char"/>
    <w:basedOn w:val="DefaultParagraphFont"/>
    <w:link w:val="Tekstbalonia"/>
    <w:uiPriority w:val="99"/>
    <w:semiHidden/>
    <w:qFormat/>
    <w:rsid w:val="00e422f3"/>
    <w:rPr>
      <w:rFonts w:ascii="Tahoma" w:hAnsi="Tahoma" w:cs="Tahoma"/>
      <w:sz w:val="16"/>
      <w:szCs w:val="16"/>
    </w:rPr>
  </w:style>
  <w:style w:type="character" w:styleId="PodnojeChar" w:customStyle="1">
    <w:name w:val="Podnožje Char"/>
    <w:basedOn w:val="DefaultParagraphFont"/>
    <w:link w:val="Podnoje"/>
    <w:uiPriority w:val="99"/>
    <w:qFormat/>
    <w:rsid w:val="00e422f3"/>
    <w:rPr>
      <w:rFonts w:ascii="Times New Roman" w:hAnsi="Times New Roman"/>
      <w:sz w:val="24"/>
    </w:rPr>
  </w:style>
  <w:style w:type="character" w:styleId="PlaceholderText">
    <w:name w:val="Placeholder Text"/>
    <w:basedOn w:val="DefaultParagraphFont"/>
    <w:uiPriority w:val="99"/>
    <w:semiHidden/>
    <w:qFormat/>
    <w:rsid w:val="00d238e3"/>
    <w:rPr>
      <w:color w:val="808080"/>
      <w:shd w:fill="auto" w:val="clear"/>
    </w:rPr>
  </w:style>
  <w:style w:type="character" w:styleId="ESPISCCParagraphDefaultFont" w:customStyle="1">
    <w:name w:val="eSPIS_CC_Paragraph Default Font"/>
    <w:basedOn w:val="DefaultParagraphFont"/>
    <w:qFormat/>
    <w:rsid w:val="00d238e3"/>
    <w:rPr>
      <w:rFonts w:ascii="Times New Roman" w:hAnsi="Times New Roman" w:eastAsia="Times New Roman" w:cs="Times New Roman"/>
      <w:sz w:val="24"/>
      <w:szCs w:val="20"/>
      <w:shd w:fill="auto" w:val="clear"/>
      <w:lang w:val="hr-HR"/>
    </w:rPr>
  </w:style>
  <w:style w:type="character" w:styleId="PozadinaSvijetloZuta" w:customStyle="1">
    <w:name w:val="Pozadina_SvijetloZuta"/>
    <w:basedOn w:val="DefaultParagraphFont"/>
    <w:qFormat/>
    <w:rsid w:val="00d238e3"/>
    <w:rPr>
      <w:rFonts w:eastAsia="Times New Roman" w:cs="Times New Roman"/>
      <w:szCs w:val="20"/>
      <w:shd w:fill="FFFFCC" w:val="clear"/>
      <w:lang w:val="hr-HR"/>
    </w:rPr>
  </w:style>
  <w:style w:type="character" w:styleId="PozadinaSvijetloCrvena" w:customStyle="1">
    <w:name w:val="Pozadina_SvijetloCrvena"/>
    <w:basedOn w:val="ESPISCCParagraphDefaultFont"/>
    <w:qFormat/>
    <w:rsid w:val="00d238e3"/>
    <w:rPr>
      <w:rFonts w:ascii="Times New Roman" w:hAnsi="Times New Roman" w:eastAsia="Times New Roman" w:cs="Times New Roman"/>
      <w:sz w:val="24"/>
      <w:szCs w:val="20"/>
      <w:shd w:fill="FFCCCC" w:val="clear"/>
      <w:lang w:val="hr-HR"/>
    </w:rPr>
  </w:style>
  <w:style w:type="character" w:styleId="PozadinaSvijetloZelena" w:customStyle="1">
    <w:name w:val="Pozadina_SvijetloZelena"/>
    <w:basedOn w:val="ESPISCCParagraphDefaultFont"/>
    <w:qFormat/>
    <w:rsid w:val="00d238e3"/>
    <w:rPr>
      <w:rFonts w:ascii="Times New Roman" w:hAnsi="Times New Roman" w:eastAsia="Times New Roman" w:cs="Times New Roman"/>
      <w:sz w:val="24"/>
      <w:szCs w:val="20"/>
      <w:shd w:fill="CCFFCC" w:val="clear"/>
      <w:lang w:val="hr-HR"/>
    </w:rPr>
  </w:style>
  <w:style w:type="paragraph" w:styleId="Heading">
    <w:name w:val="Heading"/>
    <w:basedOn w:val="Normal"/>
    <w:next w:val="TextBody"/>
    <w:qFormat/>
    <w:pPr>
      <w:keepNext w:val="true"/>
      <w:spacing w:before="240" w:after="120"/>
    </w:pPr>
    <w:rPr>
      <w:rFonts w:ascii="Liberation Sans" w:hAnsi="Liberation Sans" w:eastAsia="Microsoft YaHei" w:cs="Mangal"/>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Mangal"/>
    </w:rPr>
  </w:style>
  <w:style w:type="paragraph" w:styleId="Caption">
    <w:name w:val="Caption"/>
    <w:basedOn w:val="Normal"/>
    <w:qFormat/>
    <w:pPr>
      <w:suppressLineNumbers/>
      <w:spacing w:before="120" w:after="120"/>
    </w:pPr>
    <w:rPr>
      <w:rFonts w:cs="Mangal"/>
      <w:i/>
      <w:iCs/>
      <w:sz w:val="24"/>
      <w:szCs w:val="24"/>
    </w:rPr>
  </w:style>
  <w:style w:type="paragraph" w:styleId="Index">
    <w:name w:val="Index"/>
    <w:basedOn w:val="Normal"/>
    <w:qFormat/>
    <w:pPr>
      <w:suppressLineNumbers/>
    </w:pPr>
    <w:rPr>
      <w:rFonts w:cs="Mangal"/>
    </w:rPr>
  </w:style>
  <w:style w:type="paragraph" w:styleId="Header">
    <w:name w:val="Header"/>
    <w:basedOn w:val="Normal"/>
    <w:link w:val="ZaglavljeChar"/>
    <w:uiPriority w:val="99"/>
    <w:unhideWhenUsed/>
    <w:rsid w:val="00e422f3"/>
    <w:pPr>
      <w:tabs>
        <w:tab w:val="clear" w:pos="708"/>
        <w:tab w:val="center" w:pos="4536" w:leader="none"/>
        <w:tab w:val="right" w:pos="9072" w:leader="none"/>
      </w:tabs>
    </w:pPr>
    <w:rPr/>
  </w:style>
  <w:style w:type="paragraph" w:styleId="BalloonText">
    <w:name w:val="Balloon Text"/>
    <w:basedOn w:val="Normal"/>
    <w:link w:val="TekstbaloniaChar"/>
    <w:uiPriority w:val="99"/>
    <w:semiHidden/>
    <w:unhideWhenUsed/>
    <w:qFormat/>
    <w:rsid w:val="00e422f3"/>
    <w:pPr/>
    <w:rPr>
      <w:rFonts w:ascii="Tahoma" w:hAnsi="Tahoma" w:cs="Tahoma"/>
      <w:sz w:val="16"/>
      <w:szCs w:val="16"/>
    </w:rPr>
  </w:style>
  <w:style w:type="paragraph" w:styleId="Footer">
    <w:name w:val="Footer"/>
    <w:basedOn w:val="Normal"/>
    <w:link w:val="PodnojeChar"/>
    <w:uiPriority w:val="99"/>
    <w:unhideWhenUsed/>
    <w:rsid w:val="00e422f3"/>
    <w:pPr>
      <w:tabs>
        <w:tab w:val="clear" w:pos="708"/>
        <w:tab w:val="center" w:pos="4536" w:leader="none"/>
        <w:tab w:val="right" w:pos="9072" w:leader="none"/>
      </w:tabs>
    </w:pPr>
    <w:rPr/>
  </w:style>
  <w:style w:type="paragraph" w:styleId="FrameContents">
    <w:name w:val="Frame Contents"/>
    <w:basedOn w:val="Normal"/>
    <w:qFormat/>
    <w:pPr/>
    <w:rPr/>
  </w:style>
  <w:style w:type="numbering" w:styleId="NoList" w:default="1">
    <w:name w:val="No List"/>
    <w:uiPriority w:val="99"/>
    <w:semiHidden/>
    <w:unhideWhenUsed/>
    <w:qFormat/>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Relationship Id="rId9" Type="http://schemas.openxmlformats.org/officeDocument/2006/relationships/customXml" Target="../customXml/item2.xml"/>
</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2.xml><?xml version="1.0" encoding="utf-8"?>
<icms>
  <DomainObject.DatumDonosenjaOdluke>
    <izvorni_sadrzaj>25. siječnja 2016.</izvorni_sadrzaj>
    <derivirana_varijabla naziv="DomainObject.DatumDonosenjaOdluke_1">25.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Marlena</izvorni_sadrzaj>
    <derivirana_varijabla naziv="DomainObject.DonositeljOdluke.Ime_1">Marlena</derivirana_varijabla>
  </DomainObject.DonositeljOdluke.Ime>
  <DomainObject.DonositeljOdluke.Prezime>
    <izvorni_sadrzaj>Pamić</izvorni_sadrzaj>
    <derivirana_varijabla naziv="DomainObject.DonositeljOdluke.Prezime_1">Pamić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1097</izvorni_sadrzaj>
    <derivirana_varijabla naziv="DomainObject.Predmet.Broj_1">1097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2015.</izvorni_sadrzaj>
    <derivirana_varijabla naziv="DomainObject.Predmet.DatumOsnivanja_1">1.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174425.71</izvorni_sadrzaj>
    <derivirana_varijabla naziv="DomainObject.Predmet.InicijalnaVrijednost_1">174425.71</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P-1097/2015</izvorni_sadrzaj>
    <derivirana_varijabla naziv="DomainObject.Predmet.OznakaBroj_1">P-1097/2015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ULJANIK Strojogradnja d.d. PULA</izvorni_sadrzaj>
    <derivirana_varijabla naziv="DomainObject.Predmet.ProtustrankaFormated_1">  ULJANIK Strojogradnja d.d. PULA</derivirana_varijabla>
  </DomainObject.Predmet.ProtustrankaFormated>
  <DomainObject.Predmet.ProtustrankaFormatedOIB>
    <izvorni_sadrzaj>  ULJANIK Strojogradnja d.d. PULA, OIB 36934697422</izvorni_sadrzaj>
    <derivirana_varijabla naziv="DomainObject.Predmet.ProtustrankaFormatedOIB_1">  ULJANIK Strojogradnja d.d. PULA, OIB 36934697422</derivirana_varijabla>
  </DomainObject.Predmet.ProtustrankaFormatedOIB>
  <DomainObject.Predmet.ProtustrankaFormatedWithAdress>
    <izvorni_sadrzaj> ULJANIK Strojogradnja d.d. PULA, Flaciusova 1, Pula</izvorni_sadrzaj>
    <derivirana_varijabla naziv="DomainObject.Predmet.ProtustrankaFormatedWithAdress_1"> ULJANIK Strojogradnja d.d. PULA, Flaciusova 1, Pula</derivirana_varijabla>
  </DomainObject.Predmet.ProtustrankaFormatedWithAdress>
  <DomainObject.Predmet.ProtustrankaFormatedWithAdressOIB>
    <izvorni_sadrzaj> ULJANIK Strojogradnja d.d. PULA, OIB 36934697422, Flaciusova 1, Pula</izvorni_sadrzaj>
    <derivirana_varijabla naziv="DomainObject.Predmet.ProtustrankaFormatedWithAdressOIB_1"> ULJANIK Strojogradnja d.d. PULA, OIB 36934697422, Flaciusova 1, Pula</derivirana_varijabla>
  </DomainObject.Predmet.ProtustrankaFormatedWithAdressOIB>
  <DomainObject.Predmet.ProtustrankaWithAdress>
    <izvorni_sadrzaj>ULJANIK Strojogradnja d.d. PULA Flaciusova 1, Pula</izvorni_sadrzaj>
    <derivirana_varijabla naziv="DomainObject.Predmet.ProtustrankaWithAdress_1">ULJANIK Strojogradnja d.d. PULA Flaciusova 1, Pula</derivirana_varijabla>
  </DomainObject.Predmet.ProtustrankaWithAdress>
  <DomainObject.Predmet.ProtustrankaWithAdressOIB>
    <izvorni_sadrzaj>ULJANIK Strojogradnja d.d. PULA, OIB 36934697422, Flaciusova 1, Pula</izvorni_sadrzaj>
    <derivirana_varijabla naziv="DomainObject.Predmet.ProtustrankaWithAdressOIB_1">ULJANIK Strojogradnja d.d. PULA, OIB 36934697422, Flaciusova 1, Pula</derivirana_varijabla>
  </DomainObject.Predmet.ProtustrankaWithAdressOIB>
  <DomainObject.Predmet.ProtustrankaNazivFormated>
    <izvorni_sadrzaj>ULJANIK Strojogradnja d.d. PULA</izvorni_sadrzaj>
    <derivirana_varijabla naziv="DomainObject.Predmet.ProtustrankaNazivFormated_1">ULJANIK Strojogradnja d.d. PULA</derivirana_varijabla>
  </DomainObject.Predmet.ProtustrankaNazivFormated>
  <DomainObject.Predmet.ProtustrankaNazivFormatedOIB>
    <izvorni_sadrzaj>ULJANIK Strojogradnja d.d. PULA, OIB 36934697422</izvorni_sadrzaj>
    <derivirana_varijabla naziv="DomainObject.Predmet.ProtustrankaNazivFormatedOIB_1">ULJANIK Strojogradnja d.d. PULA, OIB 36934697422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Marlena Pamić</izvorni_sadrzaj>
    <derivirana_varijabla naziv="DomainObject.Predmet.Referada.Sudac_1">Marlena Pamić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ORTO d.o.o. PULA zastupanog po punomoćniku odvj. MILENKO ILIĆ</izvorni_sadrzaj>
    <derivirana_varijabla naziv="DomainObject.Predmet.StrankaFormated_1">  ORTO d.o.o. PULA zastupanog po punomoćniku odvj. MILENKO ILIĆ</derivirana_varijabla>
  </DomainObject.Predmet.StrankaFormated>
  <DomainObject.Predmet.StrankaFormatedOIB>
    <izvorni_sadrzaj>  ORTO d.o.o. PULA, OIB 08497462140 zastupanog po punomoćniku odvj. MILENKO ILIĆ</izvorni_sadrzaj>
    <derivirana_varijabla naziv="DomainObject.Predmet.StrankaFormatedOIB_1">  ORTO d.o.o. PULA, OIB 08497462140 zastupanog po punomoćniku odvj. MILENKO ILIĆ</derivirana_varijabla>
  </DomainObject.Predmet.StrankaFormatedOIB>
  <DomainObject.Predmet.StrankaFormatedWithAdress>
    <izvorni_sadrzaj> ORTO d.o.o. PULA, Kupelwieserova 4, Pula zastupanog po punomoćniku odvj. MILENKO ILIĆ</izvorni_sadrzaj>
    <derivirana_varijabla naziv="DomainObject.Predmet.StrankaFormatedWithAdress_1"> ORTO d.o.o. PULA, Kupelwieserova 4, Pula zastupanog po punomoćniku odvj. MILENKO ILIĆ</derivirana_varijabla>
  </DomainObject.Predmet.StrankaFormatedWithAdress>
  <DomainObject.Predmet.StrankaFormatedWithAdressOIB>
    <izvorni_sadrzaj> ORTO d.o.o. PULA, OIB 08497462140, Kupelwieserova 4, Pula zastupanog po punomoćniku odvj. MILENKO ILIĆ</izvorni_sadrzaj>
    <derivirana_varijabla naziv="DomainObject.Predmet.StrankaFormatedWithAdressOIB_1"> ORTO d.o.o. PULA, OIB 08497462140, Kupelwieserova 4, Pula zastupanog po punomoćniku odvj. MILENKO ILIĆ</derivirana_varijabla>
  </DomainObject.Predmet.StrankaFormatedWithAdressOIB>
  <DomainObject.Predmet.StrankaWithAdress>
    <izvorni_sadrzaj>ORTO d.o.o. PULA Kupelwieserova 4,Pula</izvorni_sadrzaj>
    <derivirana_varijabla naziv="DomainObject.Predmet.StrankaWithAdress_1">ORTO d.o.o. PULA Kupelwieserova 4,Pula</derivirana_varijabla>
  </DomainObject.Predmet.StrankaWithAdress>
  <DomainObject.Predmet.StrankaWithAdressOIB>
    <izvorni_sadrzaj>ORTO d.o.o. PULA, OIB 08497462140, Kupelwieserova 4,Pula</izvorni_sadrzaj>
    <derivirana_varijabla naziv="DomainObject.Predmet.StrankaWithAdressOIB_1">ORTO d.o.o. PULA, OIB 08497462140, Kupelwieserova 4,Pula</derivirana_varijabla>
  </DomainObject.Predmet.StrankaWithAdressOIB>
  <DomainObject.Predmet.StrankaNazivFormated>
    <izvorni_sadrzaj>ORTO d.o.o. PULA</izvorni_sadrzaj>
    <derivirana_varijabla naziv="DomainObject.Predmet.StrankaNazivFormated_1">ORTO d.o.o. PULA</derivirana_varijabla>
  </DomainObject.Predmet.StrankaNazivFormated>
  <DomainObject.Predmet.StrankaNazivFormatedOIB>
    <izvorni_sadrzaj>ORTO d.o.o. PULA, OIB 08497462140</izvorni_sadrzaj>
    <derivirana_varijabla naziv="DomainObject.Predmet.StrankaNazivFormatedOIB_1">ORTO d.o.o. PULA, OIB 08497462140</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Isplata do 500.000,00 kn</izvorni_sadrzaj>
    <derivirana_varijabla naziv="DomainObject.Predmet.VrstaSpora.Naziv_1">Isplata do 500.000,00 kn</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ORTO d.o.o. PULA zastupanog po punomoćniku odvj. MILENKO ILIĆ</item>
    </izvorni_sadrzaj>
    <derivirana_varijabla naziv="DomainObject.Predmet.StrankaListFormated_1">
      <item>ORTO d.o.o. PULA zastupanog po punomoćniku odvj. MILENKO ILIĆ</item>
    </derivirana_varijabla>
  </DomainObject.Predmet.StrankaListFormated>
  <DomainObject.Predmet.StrankaListFormatedOIB>
    <izvorni_sadrzaj>
      <item>ORTO d.o.o. PULA, OIB 08497462140 zastupanog po punomoćniku odvj. MILENKO ILIĆ</item>
    </izvorni_sadrzaj>
    <derivirana_varijabla naziv="DomainObject.Predmet.StrankaListFormatedOIB_1">
      <item>ORTO d.o.o. PULA, OIB 08497462140 zastupanog po punomoćniku odvj. MILENKO ILIĆ</item>
    </derivirana_varijabla>
  </DomainObject.Predmet.StrankaListFormatedOIB>
  <DomainObject.Predmet.StrankaListFormatedWithAdress>
    <izvorni_sadrzaj>
      <item>ORTO d.o.o. PULA, Kupelwieserova 4, Pula zastupanog po punomoćniku odvj. MILENKO ILIĆ</item>
    </izvorni_sadrzaj>
    <derivirana_varijabla naziv="DomainObject.Predmet.StrankaListFormatedWithAdress_1">
      <item>ORTO d.o.o. PULA, Kupelwieserova 4, Pula zastupanog po punomoćniku odvj. MILENKO ILIĆ</item>
    </derivirana_varijabla>
  </DomainObject.Predmet.StrankaListFormatedWithAdress>
  <DomainObject.Predmet.StrankaListFormatedWithAdressOIB>
    <izvorni_sadrzaj>
      <item>ORTO d.o.o. PULA, OIB 08497462140, Kupelwieserova 4, Pula zastupanog po punomoćniku odvj. MILENKO ILIĆ</item>
    </izvorni_sadrzaj>
    <derivirana_varijabla naziv="DomainObject.Predmet.StrankaListFormatedWithAdressOIB_1">
      <item>ORTO d.o.o. PULA, OIB 08497462140, Kupelwieserova 4, Pula zastupanog po punomoćniku odvj. MILENKO ILIĆ</item>
    </derivirana_varijabla>
  </DomainObject.Predmet.StrankaListFormatedWithAdressOIB>
  <DomainObject.Predmet.StrankaListNazivFormated>
    <izvorni_sadrzaj>
      <item>ORTO d.o.o. PULA</item>
    </izvorni_sadrzaj>
    <derivirana_varijabla naziv="DomainObject.Predmet.StrankaListNazivFormated_1">
      <item>ORTO d.o.o. PULA</item>
    </derivirana_varijabla>
  </DomainObject.Predmet.StrankaListNazivFormated>
  <DomainObject.Predmet.StrankaListNazivFormatedOIB>
    <izvorni_sadrzaj>
      <item>ORTO d.o.o. PULA, OIB 08497462140</item>
    </izvorni_sadrzaj>
    <derivirana_varijabla naziv="DomainObject.Predmet.StrankaListNazivFormatedOIB_1">
      <item>ORTO d.o.o. PULA, OIB 08497462140</item>
    </derivirana_varijabla>
  </DomainObject.Predmet.StrankaListNazivFormatedOIB>
  <DomainObject.Predmet.ProtuStrankaListFormated>
    <izvorni_sadrzaj>
      <item>ULJANIK Strojogradnja d.d. PULA</item>
    </izvorni_sadrzaj>
    <derivirana_varijabla naziv="DomainObject.Predmet.ProtuStrankaListFormated_1">
      <item>ULJANIK Strojogradnja d.d. PULA</item>
    </derivirana_varijabla>
  </DomainObject.Predmet.ProtuStrankaListFormated>
  <DomainObject.Predmet.ProtuStrankaListFormatedOIB>
    <izvorni_sadrzaj>
      <item>ULJANIK Strojogradnja d.d. PULA, OIB 36934697422</item>
    </izvorni_sadrzaj>
    <derivirana_varijabla naziv="DomainObject.Predmet.ProtuStrankaListFormatedOIB_1">
      <item>ULJANIK Strojogradnja d.d. PULA, OIB 36934697422</item>
    </derivirana_varijabla>
  </DomainObject.Predmet.ProtuStrankaListFormatedOIB>
  <DomainObject.Predmet.ProtuStrankaListFormatedWithAdress>
    <izvorni_sadrzaj>
      <item>ULJANIK Strojogradnja d.d. PULA, Flaciusova 1, Pula</item>
    </izvorni_sadrzaj>
    <derivirana_varijabla naziv="DomainObject.Predmet.ProtuStrankaListFormatedWithAdress_1">
      <item>ULJANIK Strojogradnja d.d. PULA, Flaciusova 1, Pula</item>
    </derivirana_varijabla>
  </DomainObject.Predmet.ProtuStrankaListFormatedWithAdress>
  <DomainObject.Predmet.ProtuStrankaListFormatedWithAdressOIB>
    <izvorni_sadrzaj>
      <item>ULJANIK Strojogradnja d.d. PULA, OIB 36934697422, Flaciusova 1, Pula</item>
    </izvorni_sadrzaj>
    <derivirana_varijabla naziv="DomainObject.Predmet.ProtuStrankaListFormatedWithAdressOIB_1">
      <item>ULJANIK Strojogradnja d.d. PULA, OIB 36934697422, Flaciusova 1, Pula</item>
    </derivirana_varijabla>
  </DomainObject.Predmet.ProtuStrankaListFormatedWithAdressOIB>
  <DomainObject.Predmet.ProtuStrankaListNazivFormated>
    <izvorni_sadrzaj>
      <item>ULJANIK Strojogradnja d.d. PULA</item>
    </izvorni_sadrzaj>
    <derivirana_varijabla naziv="DomainObject.Predmet.ProtuStrankaListNazivFormated_1">
      <item>ULJANIK Strojogradnja d.d. PULA</item>
    </derivirana_varijabla>
  </DomainObject.Predmet.ProtuStrankaListNazivFormated>
  <DomainObject.Predmet.ProtuStrankaListNazivFormatedOIB>
    <izvorni_sadrzaj>
      <item>ULJANIK Strojogradnja d.d. PULA, OIB 36934697422</item>
    </izvorni_sadrzaj>
    <derivirana_varijabla naziv="DomainObject.Predmet.ProtuStrankaListNazivFormatedOIB_1">
      <item>ULJANIK Strojogradnja d.d. PULA, OIB 36934697422</item>
    </derivirana_varijabla>
  </DomainObject.Predmet.ProtuStrankaListNazivFormatedOIB>
  <DomainObject.Predmet.OstaliListFormated>
    <izvorni_sadrzaj>
      <item>odvj. MILENKO ILIĆ punomoćnik sudionika u postupku ORTO d.o.o. PULA</item>
    </izvorni_sadrzaj>
    <derivirana_varijabla naziv="DomainObject.Predmet.OstaliListFormated_1">
      <item>odvj. MILENKO ILIĆ punomoćnik sudionika u postupku ORTO d.o.o. PULA</item>
    </derivirana_varijabla>
  </DomainObject.Predmet.OstaliListFormated>
  <DomainObject.Predmet.OstaliListFormatedOIB>
    <izvorni_sadrzaj>
      <item>odvj. MILENKO ILIĆ punomoćnik sudionika u postupku ORTO d.o.o. PULA</item>
    </izvorni_sadrzaj>
    <derivirana_varijabla naziv="DomainObject.Predmet.OstaliListFormatedOIB_1">
      <item>odvj. MILENKO ILIĆ punomoćnik sudionika u postupku ORTO d.o.o. PULA</item>
    </derivirana_varijabla>
  </DomainObject.Predmet.OstaliListFormatedOIB>
  <DomainObject.Predmet.OstaliListFormatedWithAdress>
    <izvorni_sadrzaj>
      <item>odvj. MILENKO ILIĆ, MLETAČKA 12/I, 52100 Pula punomoćnik sudionika u postupku ORTO d.o.o. PULA</item>
    </izvorni_sadrzaj>
    <derivirana_varijabla naziv="DomainObject.Predmet.OstaliListFormatedWithAdress_1">
      <item>odvj. MILENKO ILIĆ, MLETAČKA 12/I, 52100 Pula punomoćnik sudionika u postupku ORTO d.o.o. PULA</item>
    </derivirana_varijabla>
  </DomainObject.Predmet.OstaliListFormatedWithAdress>
  <DomainObject.Predmet.OstaliListFormatedWithAdressOIB>
    <izvorni_sadrzaj>
      <item>odvj. MILENKO ILIĆ, MLETAČKA 12/I, 52100 Pula punomoćnik sudionika u postupku ORTO d.o.o. PULA</item>
    </izvorni_sadrzaj>
    <derivirana_varijabla naziv="DomainObject.Predmet.OstaliListFormatedWithAdressOIB_1">
      <item>odvj. MILENKO ILIĆ, MLETAČKA 12/I, 52100 Pula punomoćnik sudionika u postupku ORTO d.o.o. PULA</item>
    </derivirana_varijabla>
  </DomainObject.Predmet.OstaliListFormatedWithAdressOIB>
  <DomainObject.Predmet.OstaliListNazivFormated>
    <izvorni_sadrzaj>
      <item>odvj. MILENKO ILIĆ</item>
    </izvorni_sadrzaj>
    <derivirana_varijabla naziv="DomainObject.Predmet.OstaliListNazivFormated_1">
      <item>odvj. MILENKO ILIĆ</item>
    </derivirana_varijabla>
  </DomainObject.Predmet.OstaliListNazivFormated>
  <DomainObject.Predmet.OstaliListNazivFormatedOIB>
    <izvorni_sadrzaj>
      <item>odvj. MILENKO ILIĆ</item>
    </izvorni_sadrzaj>
    <derivirana_varijabla naziv="DomainObject.Predmet.OstaliListNazivFormatedOIB_1">
      <item>odvj. MILENKO ILIĆ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2016.</izvorni_sadrzaj>
    <derivirana_varijabla naziv="DomainObject.Datum_1">25. siječnja 2016.</derivirana_varijabla>
  </DomainObject.Datum>
  <DomainObject.PoslovniBrojDokumenta>
    <izvorni_sadrzaj/>
    <derivirana_varijabla naziv="DomainObject.PoslovniBrojDokumenta_1"/>
  </DomainObject.PoslovniBrojDokumenta>
  <DomainObject.Predmet.StrankaIDrugi>
    <izvorni_sadrzaj>ORTO d.o.o. PULA</izvorni_sadrzaj>
    <derivirana_varijabla naziv="DomainObject.Predmet.StrankaIDrugi_1">ORTO d.o.o. PULA</derivirana_varijabla>
  </DomainObject.Predmet.StrankaIDrugi>
  <DomainObject.Predmet.ProtustrankaIDrugi>
    <izvorni_sadrzaj>ULJANIK Strojogradnja d.d. PULA</izvorni_sadrzaj>
    <derivirana_varijabla naziv="DomainObject.Predmet.ProtustrankaIDrugi_1">ULJANIK Strojogradnja d.d. PULA</derivirana_varijabla>
  </DomainObject.Predmet.ProtustrankaIDrugi>
  <DomainObject.Predmet.StrankaIDrugiAdressOIB>
    <izvorni_sadrzaj>ORTO d.o.o. PULA, OIB 08497462140, Kupelwieserova 4, Pula</izvorni_sadrzaj>
    <derivirana_varijabla naziv="DomainObject.Predmet.StrankaIDrugiAdressOIB_1">ORTO d.o.o. PULA, OIB 08497462140, Kupelwieserova 4, Pula</derivirana_varijabla>
  </DomainObject.Predmet.StrankaIDrugiAdressOIB>
  <DomainObject.Predmet.ProtustrankaIDrugiAdressOIB>
    <izvorni_sadrzaj>ULJANIK Strojogradnja d.d. PULA, OIB 36934697422, Flaciusova 1, Pula</izvorni_sadrzaj>
    <derivirana_varijabla naziv="DomainObject.Predmet.ProtustrankaIDrugiAdressOIB_1">ULJANIK Strojogradnja d.d. PULA, OIB 36934697422, Flaciusova 1,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ORTO d.o.o. PULA</item>
      <item>ULJANIK Strojogradnja d.d. PULA</item>
      <item>odvj. MILENKO ILIĆ</item>
    </izvorni_sadrzaj>
    <derivirana_varijabla naziv="DomainObject.Predmet.SudioniciListNaziv_1">
      <item>ORTO d.o.o. PULA</item>
      <item>ULJANIK Strojogradnja d.d. PULA</item>
      <item>odvj. MILENKO ILIĆ</item>
    </derivirana_varijabla>
  </DomainObject.Predmet.SudioniciListNaziv>
  <DomainObject.Predmet.SudioniciListAdressOIB>
    <izvorni_sadrzaj>
      <item>ORTO d.o.o. PULA, OIB 08497462140, Kupelwieserova 4,Pula</item>
      <item>ULJANIK Strojogradnja d.d. PULA, OIB 36934697422, Flaciusova 1,Pula</item>
      <item>odvj. MILENKO ILIĆ, MLETAČKA 12/I,52100 Pula</item>
    </izvorni_sadrzaj>
    <derivirana_varijabla naziv="DomainObject.Predmet.SudioniciListAdressOIB_1">
      <item>ORTO d.o.o. PULA, OIB 08497462140, Kupelwieserova 4,Pula</item>
      <item>ULJANIK Strojogradnja d.d. PULA, OIB 36934697422, Flaciusova 1,Pula</item>
      <item>odvj. MILENKO ILIĆ, MLETAČKA 12/I,52100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08497462140</item>
      <item>, OIB 36934697422</item>
      <item>, OIB null</item>
    </izvorni_sadrzaj>
    <derivirana_varijabla naziv="DomainObject.Predmet.SudioniciListNazivOIB_1">
      <item>, OIB 08497462140</item>
      <item>, OIB 36934697422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B730B390-6DDF-4827-8D59-80D84D13527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 xmlns="http://schemas.openxmlformats.org/officeDocument/2006/extended-properties" xmlns:vt="http://schemas.openxmlformats.org/officeDocument/2006/docPropsVTypes">
  <Template>MasterTemplate</Template>
  <TotalTime>2</TotalTime>
  <Application>LibreOffice/6.2.3.2$Windows_x86 LibreOffice_project/aecc05fe267cc68dde00352a451aa867b3b546ac</Application>
  <Pages>7</Pages>
  <Words>3476</Words>
  <Characters>17369</Characters>
  <CharactersWithSpaces>20779</CharactersWithSpaces>
  <Paragraphs>129</Paragraphs>
  <Company>MPRH</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2016-01-25T13:37:00Z</dcterms:created>
  <dc:creator>Mihaela Kaligari</dc:creator>
  <dc:description/>
  <dc:language>hr-HR</dc:language>
  <cp:lastModifiedBy>Sanja Prodan</cp:lastModifiedBy>
  <cp:lastPrinted>2016-01-25T12:55:00Z</cp:lastPrinted>
  <dcterms:modified xsi:type="dcterms:W3CDTF">2016-01-25T14:21:00Z</dcterms:modified>
  <cp:revision>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BrojStranica">
    <vt:i4>7</vt:i4>
  </property>
  <property fmtid="{D5CDD505-2E9C-101B-9397-08002B2CF9AE}" pid="4" name="CC_coloring">
    <vt:bool>0</vt:bool>
  </property>
  <property fmtid="{D5CDD505-2E9C-101B-9397-08002B2CF9AE}" pid="5" name="Company">
    <vt:lpwstr>MPRH</vt:lpwstr>
  </property>
  <property fmtid="{D5CDD505-2E9C-101B-9397-08002B2CF9AE}" pid="6" name="DocSecurity">
    <vt:i4>0</vt:i4>
  </property>
  <property fmtid="{D5CDD505-2E9C-101B-9397-08002B2CF9AE}" pid="7" name="HyperlinksChanged">
    <vt:bool>0</vt:bool>
  </property>
  <property fmtid="{D5CDD505-2E9C-101B-9397-08002B2CF9AE}" pid="8" name="LinksUpToDate">
    <vt:bool>0</vt:bool>
  </property>
  <property fmtid="{D5CDD505-2E9C-101B-9397-08002B2CF9AE}" pid="9" name="Naslov">
    <vt:lpwstr>Novi sadržaj odluke</vt:lpwstr>
  </property>
  <property fmtid="{D5CDD505-2E9C-101B-9397-08002B2CF9AE}" pid="10" name="Saved">
    <vt:bool>1</vt:bool>
  </property>
  <property fmtid="{D5CDD505-2E9C-101B-9397-08002B2CF9AE}" pid="11" name="ScaleCrop">
    <vt:bool>0</vt:bool>
  </property>
  <property fmtid="{D5CDD505-2E9C-101B-9397-08002B2CF9AE}" pid="12" name="ShareDoc">
    <vt:bool>0</vt:bool>
  </property>
</Properties>
</file>